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600" w:lineRule="exact"/>
        <w:rPr>
          <w:rFonts w:hint="eastAsia" w:ascii="仿宋_GB2312" w:hAnsi="仿宋" w:cs="宋体"/>
          <w:kern w:val="0"/>
          <w:szCs w:val="32"/>
        </w:rPr>
      </w:pPr>
      <w:r>
        <w:rPr>
          <w:rFonts w:hint="eastAsia" w:ascii="黑体" w:hAnsi="黑体" w:eastAsia="黑体"/>
          <w:szCs w:val="32"/>
        </w:rPr>
        <w:t xml:space="preserve">附件1 </w:t>
      </w:r>
    </w:p>
    <w:p>
      <w:pPr>
        <w:adjustRightInd w:val="0"/>
        <w:snapToGrid w:val="0"/>
        <w:spacing w:line="600" w:lineRule="exact"/>
        <w:jc w:val="center"/>
        <w:rPr>
          <w:rFonts w:ascii="仿宋_GB2312" w:hAnsi="仿宋_GB2312" w:eastAsia="宋体"/>
          <w:b/>
          <w:sz w:val="44"/>
          <w:szCs w:val="44"/>
        </w:rPr>
      </w:pPr>
    </w:p>
    <w:p>
      <w:pPr>
        <w:adjustRightInd w:val="0"/>
        <w:snapToGrid w:val="0"/>
        <w:spacing w:line="600" w:lineRule="exact"/>
        <w:jc w:val="center"/>
        <w:rPr>
          <w:rFonts w:ascii="仿宋_GB2312" w:hAnsi="仿宋_GB2312" w:eastAsia="宋体"/>
          <w:b/>
          <w:sz w:val="44"/>
          <w:szCs w:val="44"/>
        </w:rPr>
      </w:pPr>
      <w:r>
        <w:rPr>
          <w:rFonts w:ascii="仿宋_GB2312" w:hAnsi="仿宋_GB2312" w:eastAsia="宋体"/>
          <w:b/>
          <w:sz w:val="44"/>
          <w:szCs w:val="44"/>
        </w:rPr>
        <w:t>国家创伤医学中心设置标准</w:t>
      </w:r>
    </w:p>
    <w:p>
      <w:pPr>
        <w:spacing w:line="600" w:lineRule="exact"/>
        <w:ind w:firstLine="640" w:firstLineChars="200"/>
        <w:rPr>
          <w:rFonts w:ascii="仿宋_GB2312" w:hAnsi="仿宋_GB2312" w:eastAsia="黑体"/>
        </w:rPr>
      </w:pPr>
    </w:p>
    <w:p>
      <w:pPr>
        <w:spacing w:line="600" w:lineRule="exact"/>
        <w:ind w:firstLine="640" w:firstLineChars="200"/>
        <w:rPr>
          <w:rFonts w:ascii="仿宋_GB2312" w:hAnsi="仿宋_GB2312" w:eastAsia="黑体"/>
        </w:rPr>
      </w:pPr>
      <w:r>
        <w:rPr>
          <w:rFonts w:ascii="仿宋_GB2312" w:hAnsi="仿宋_GB2312" w:eastAsia="黑体"/>
        </w:rPr>
        <w:t>一、基本要求</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国家创伤医学中心应当具有全国领先的医疗、教学、科研、管理水平，具有丰富的严重复杂创伤救治经验，在全国创伤救治体系建设中处于引领地位。配套设施完善，创伤救治相关的诊疗科目齐全，人才梯队结构合理，具有能够满足医疗、教学、科研所需的医疗设施、设备，且有相对成熟合理的创伤中心运行机制。坚持公益性，认真贯彻落实医改相关工作要求，具备承担重大突发公共卫生事件救援救治的能力和经验。承担全国创伤医学及创伤救治中的临床、教学、科研等方面的技术指导，多次组织创伤医学国内外学术交流与合作，引领和推动国家创伤医学发展。</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国家创伤医学中心应当满足以下基本条件：</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w:t>
      </w:r>
      <w:r>
        <w:rPr>
          <w:rFonts w:hint="eastAsia" w:ascii="仿宋_GB2312" w:hAnsi="仿宋_GB2312"/>
          <w:szCs w:val="32"/>
        </w:rPr>
        <w:t>一</w:t>
      </w:r>
      <w:r>
        <w:rPr>
          <w:rFonts w:ascii="仿宋_GB2312" w:hAnsi="仿宋_GB2312"/>
          <w:szCs w:val="32"/>
        </w:rPr>
        <w:t>）创伤中心实体化，规模满足功能定位，具备独立的创伤复苏单元、创伤病房、创伤重症监护病房，有完善的组织架构和相关专业固定的医务人员</w:t>
      </w:r>
      <w:r>
        <w:rPr>
          <w:rFonts w:hint="eastAsia" w:ascii="仿宋_GB2312" w:hAnsi="仿宋_GB2312"/>
          <w:szCs w:val="32"/>
        </w:rPr>
        <w:t>，</w:t>
      </w:r>
      <w:r>
        <w:rPr>
          <w:rFonts w:ascii="仿宋_GB2312" w:hAnsi="仿宋_GB2312"/>
          <w:szCs w:val="32"/>
        </w:rPr>
        <w:t>医院每年</w:t>
      </w:r>
      <w:r>
        <w:rPr>
          <w:rFonts w:hint="eastAsia" w:ascii="仿宋_GB2312" w:hAnsi="仿宋_GB2312"/>
          <w:szCs w:val="32"/>
        </w:rPr>
        <w:t>向</w:t>
      </w:r>
      <w:r>
        <w:rPr>
          <w:rFonts w:ascii="仿宋_GB2312" w:hAnsi="仿宋_GB2312"/>
          <w:szCs w:val="32"/>
        </w:rPr>
        <w:t>创伤中心投入</w:t>
      </w:r>
      <w:r>
        <w:rPr>
          <w:rFonts w:hint="eastAsia" w:ascii="仿宋_GB2312" w:hAnsi="仿宋_GB2312"/>
          <w:szCs w:val="32"/>
        </w:rPr>
        <w:t>一定的</w:t>
      </w:r>
      <w:r>
        <w:rPr>
          <w:rFonts w:ascii="仿宋_GB2312" w:hAnsi="仿宋_GB2312"/>
          <w:szCs w:val="32"/>
        </w:rPr>
        <w:t>建设</w:t>
      </w:r>
      <w:r>
        <w:rPr>
          <w:rFonts w:hint="eastAsia" w:ascii="仿宋_GB2312" w:hAnsi="仿宋_GB2312"/>
          <w:szCs w:val="32"/>
        </w:rPr>
        <w:t>发展</w:t>
      </w:r>
      <w:r>
        <w:rPr>
          <w:rFonts w:ascii="仿宋_GB2312" w:hAnsi="仿宋_GB2312"/>
          <w:szCs w:val="32"/>
        </w:rPr>
        <w:t>经费；</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w:t>
      </w:r>
      <w:r>
        <w:rPr>
          <w:rFonts w:hint="eastAsia" w:ascii="仿宋_GB2312" w:hAnsi="仿宋_GB2312"/>
          <w:szCs w:val="32"/>
        </w:rPr>
        <w:t>二</w:t>
      </w:r>
      <w:r>
        <w:rPr>
          <w:rFonts w:ascii="仿宋_GB2312" w:hAnsi="仿宋_GB2312"/>
          <w:szCs w:val="32"/>
        </w:rPr>
        <w:t>）建立创伤综合救治团队，由核心科室（专业）和支撑科室（专业）的固定</w:t>
      </w:r>
      <w:bookmarkStart w:id="0" w:name="_GoBack"/>
      <w:bookmarkEnd w:id="0"/>
      <w:r>
        <w:rPr>
          <w:rFonts w:ascii="仿宋_GB2312" w:hAnsi="仿宋_GB2312"/>
          <w:szCs w:val="32"/>
        </w:rPr>
        <w:t>人员组成，其中核心科室（专业）包括普通外科、神经外科、骨科、泌尿外科、胸外科、急诊医学科、麻醉科、重症医学科、医学检验科、医学影像科；支撑科室（专业）包括心脏大血管外科、烧伤科、整形外科、妇产科、儿科、眼科、耳鼻喉科、口腔科、精神科、康复医学科、介入放射科、中医科、输血科等；</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w:t>
      </w:r>
      <w:r>
        <w:rPr>
          <w:rFonts w:hint="eastAsia" w:ascii="仿宋_GB2312" w:hAnsi="仿宋_GB2312"/>
          <w:szCs w:val="32"/>
        </w:rPr>
        <w:t>三</w:t>
      </w:r>
      <w:r>
        <w:rPr>
          <w:rFonts w:ascii="仿宋_GB2312" w:hAnsi="仿宋_GB2312"/>
          <w:szCs w:val="32"/>
        </w:rPr>
        <w:t>）所在城市为航空医疗急救试点城市，医院应当为国家航空医疗急救试点医院，能够承担国家级创伤规范化救治培训任务；</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w:t>
      </w:r>
      <w:r>
        <w:rPr>
          <w:rFonts w:hint="eastAsia" w:ascii="仿宋_GB2312" w:hAnsi="仿宋_GB2312"/>
          <w:szCs w:val="32"/>
        </w:rPr>
        <w:t>四</w:t>
      </w:r>
      <w:r>
        <w:rPr>
          <w:rFonts w:ascii="仿宋_GB2312" w:hAnsi="仿宋_GB2312"/>
          <w:szCs w:val="32"/>
        </w:rPr>
        <w:t>）核心科室</w:t>
      </w:r>
      <w:r>
        <w:rPr>
          <w:rFonts w:hint="eastAsia" w:ascii="仿宋_GB2312" w:hAnsi="仿宋_GB2312"/>
          <w:szCs w:val="32"/>
        </w:rPr>
        <w:t>（专业）</w:t>
      </w:r>
      <w:r>
        <w:rPr>
          <w:rFonts w:ascii="仿宋_GB2312" w:hAnsi="仿宋_GB2312"/>
          <w:szCs w:val="32"/>
        </w:rPr>
        <w:t>中获得国家临床重点专科建设项目</w:t>
      </w:r>
      <w:r>
        <w:rPr>
          <w:rFonts w:hint="eastAsia" w:ascii="仿宋_GB2312" w:hAnsi="仿宋_GB2312"/>
          <w:szCs w:val="32"/>
        </w:rPr>
        <w:t>≥</w:t>
      </w:r>
      <w:r>
        <w:rPr>
          <w:rFonts w:ascii="仿宋_GB2312" w:hAnsi="仿宋_GB2312"/>
          <w:szCs w:val="32"/>
        </w:rPr>
        <w:t>5个，教育部重点学科</w:t>
      </w:r>
      <w:r>
        <w:rPr>
          <w:rFonts w:hint="eastAsia" w:ascii="仿宋_GB2312" w:hAnsi="仿宋_GB2312"/>
          <w:szCs w:val="32"/>
        </w:rPr>
        <w:t>≥</w:t>
      </w:r>
      <w:r>
        <w:rPr>
          <w:rFonts w:ascii="仿宋_GB2312" w:hAnsi="仿宋_GB2312"/>
          <w:szCs w:val="32"/>
        </w:rPr>
        <w:t>2个。</w:t>
      </w:r>
    </w:p>
    <w:p>
      <w:pPr>
        <w:spacing w:line="600" w:lineRule="exact"/>
        <w:ind w:firstLine="640" w:firstLineChars="200"/>
        <w:rPr>
          <w:rFonts w:ascii="仿宋_GB2312" w:hAnsi="仿宋_GB2312" w:eastAsia="黑体"/>
        </w:rPr>
      </w:pPr>
      <w:r>
        <w:rPr>
          <w:rFonts w:ascii="仿宋_GB2312" w:hAnsi="仿宋_GB2312" w:eastAsia="黑体"/>
        </w:rPr>
        <w:t>二、医疗服务能力</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国家创伤医学中心应当具备常见创伤、严重创伤和创伤并发症的综合诊疗能力，掌握严重创伤救治所涉及的各项关键技术。具备开展多中心临床研究，并将科研成果向临床转化的能力，引领我国创伤医学发展。已初步建立全国性的创伤救治网络或创伤医联体，建立以综合医院为核心的闭环式区域性创伤救治体系，推动我国创伤医疗救治的规范化、标准化发展。</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（一）临床、医技科室设置。</w:t>
      </w:r>
      <w:r>
        <w:rPr>
          <w:rFonts w:ascii="仿宋_GB2312" w:hAnsi="仿宋_GB2312"/>
          <w:szCs w:val="32"/>
        </w:rPr>
        <w:t>具有独立设置的创伤中心以及普通外科、神经外科、骨科、泌尿外科、胸外科、心脏大血管外科、烧伤科、整形外科、妇产科、儿科、眼科、耳鼻喉科、口腔科、精神科、急诊医学科、康复医学科、麻醉科、重症医学科、医学检验科、输血科、医学影像科、介入放射科、中医科。</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（二）诊断服务项目。</w:t>
      </w:r>
      <w:r>
        <w:rPr>
          <w:rFonts w:ascii="仿宋_GB2312" w:hAnsi="仿宋_GB2312"/>
          <w:szCs w:val="32"/>
        </w:rPr>
        <w:t>能够常规开展心电图，胸部、骨盆、四肢X片，全身快速X线计算机断层扫描（CT）、磁共振成像（MRI）、数字减影血管造影检查（DSA）、创伤超声重点评估(Focused Assessment Sonography in Trauma,FAST)等辅助检查和其他必</w:t>
      </w:r>
      <w:r>
        <w:rPr>
          <w:rFonts w:hint="eastAsia" w:ascii="仿宋_GB2312" w:hAnsi="仿宋_GB2312"/>
          <w:szCs w:val="32"/>
        </w:rPr>
        <w:t>需</w:t>
      </w:r>
      <w:r>
        <w:rPr>
          <w:rFonts w:ascii="仿宋_GB2312" w:hAnsi="仿宋_GB2312"/>
          <w:szCs w:val="32"/>
        </w:rPr>
        <w:t>的实验室检验。</w:t>
      </w:r>
    </w:p>
    <w:p>
      <w:pPr>
        <w:adjustRightInd w:val="0"/>
        <w:snapToGrid w:val="0"/>
        <w:spacing w:line="600" w:lineRule="exact"/>
        <w:ind w:firstLine="630" w:firstLineChars="196"/>
        <w:rPr>
          <w:rFonts w:ascii="仿宋_GB2312" w:hAnsi="仿宋_GB2312"/>
          <w:szCs w:val="32"/>
        </w:rPr>
      </w:pPr>
      <w:r>
        <w:rPr>
          <w:rFonts w:ascii="仿宋_GB2312" w:hAnsi="仿宋_GB2312" w:eastAsia="楷体_GB2312"/>
          <w:b/>
          <w:szCs w:val="32"/>
        </w:rPr>
        <w:t>（三）创伤及其并发症诊疗能力。</w:t>
      </w:r>
      <w:r>
        <w:rPr>
          <w:rFonts w:ascii="仿宋_GB2312" w:hAnsi="仿宋_GB2312"/>
          <w:szCs w:val="32"/>
        </w:rPr>
        <w:t>建立科学完善的创伤救治流程，具备常见创伤、严重创伤和创伤并发症的诊断与治疗能力；曾收治病种覆盖严重创伤病种和严重创伤并发症的90%以上（详见附表1、2）。严重创伤患者到达急诊后，具备快速评估及抢救的流程和能力，能够在1小时内实施数字减影血管造影（DSA）、介入手术和损伤控制性手术，具备开展各项急诊手术的能力和条件，具备严重创伤生命支持能力及相关仪器设备。能够开展或指导开展创伤康复治疗。</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（四）关键技术开展情况。</w:t>
      </w:r>
      <w:r>
        <w:rPr>
          <w:rFonts w:ascii="仿宋_GB2312" w:hAnsi="仿宋_GB2312"/>
          <w:szCs w:val="32"/>
        </w:rPr>
        <w:t>具备创伤救治先进理念及技术，能够开展创伤复苏、损伤控制手术、确定性手术和康复治疗所涉及的完整创伤救治技术，包括创伤核心技术清单（详见附表3）所列的90％以上。</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（五）建立院前急救与院内救治信息联动系统。</w:t>
      </w:r>
      <w:r>
        <w:rPr>
          <w:rFonts w:ascii="仿宋_GB2312" w:hAnsi="仿宋_GB2312"/>
          <w:szCs w:val="32"/>
        </w:rPr>
        <w:t>具有院前急救与院内救治之间的信息交换与预警联动系统，在创伤患者经急救中心（站）救护车转运到达医院前，能够完成患者基本信息及医疗信息传输，并根据创伤的严重程度启动相对应的预警级别和准备工作。</w:t>
      </w:r>
    </w:p>
    <w:p>
      <w:pPr>
        <w:adjustRightInd w:val="0"/>
        <w:snapToGrid w:val="0"/>
        <w:spacing w:line="600" w:lineRule="exact"/>
        <w:ind w:firstLine="640" w:firstLineChars="200"/>
        <w:rPr>
          <w:rFonts w:ascii="仿宋_GB2312" w:hAnsi="仿宋_GB2312" w:eastAsia="黑体"/>
          <w:szCs w:val="32"/>
        </w:rPr>
      </w:pPr>
      <w:r>
        <w:rPr>
          <w:rFonts w:ascii="仿宋_GB2312" w:hAnsi="仿宋_GB2312" w:eastAsia="黑体"/>
          <w:szCs w:val="32"/>
        </w:rPr>
        <w:t>三、教学能力</w:t>
      </w:r>
    </w:p>
    <w:p>
      <w:pPr>
        <w:adjustRightInd w:val="0"/>
        <w:snapToGrid w:val="0"/>
        <w:spacing w:line="600" w:lineRule="exact"/>
        <w:ind w:firstLine="640" w:firstLineChars="200"/>
        <w:rPr>
          <w:rFonts w:hint="eastAsia" w:ascii="仿宋_GB2312" w:hAnsi="仿宋_GB2312"/>
          <w:szCs w:val="32"/>
        </w:rPr>
      </w:pPr>
      <w:r>
        <w:rPr>
          <w:rFonts w:hint="eastAsia" w:ascii="仿宋_GB2312" w:hAnsi="仿宋_GB2312"/>
          <w:szCs w:val="32"/>
        </w:rPr>
        <w:t>承担院校医学教育、毕业后医学教育、继续医学教育工作，教学能力与硬件设施能满足教学需求。</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（一）教学条件。</w:t>
      </w:r>
      <w:r>
        <w:rPr>
          <w:rFonts w:ascii="仿宋_GB2312" w:hAnsi="仿宋_GB2312"/>
          <w:szCs w:val="32"/>
        </w:rPr>
        <w:t>具有面积</w:t>
      </w:r>
      <w:r>
        <w:rPr>
          <w:rFonts w:hint="eastAsia" w:ascii="仿宋_GB2312" w:hAnsi="仿宋_GB2312"/>
          <w:szCs w:val="32"/>
        </w:rPr>
        <w:t>≥</w:t>
      </w:r>
      <w:r>
        <w:rPr>
          <w:rFonts w:ascii="仿宋_GB2312" w:hAnsi="仿宋_GB2312"/>
          <w:szCs w:val="32"/>
        </w:rPr>
        <w:t>2000</w:t>
      </w:r>
      <w:r>
        <w:rPr>
          <w:rFonts w:hint="eastAsia" w:ascii="仿宋_GB2312" w:hAnsi="仿宋_GB2312" w:eastAsia="宋体" w:cs="宋体"/>
          <w:szCs w:val="32"/>
        </w:rPr>
        <w:t>㎡</w:t>
      </w:r>
      <w:r>
        <w:rPr>
          <w:rFonts w:hint="eastAsia" w:ascii="仿宋_GB2312" w:hAnsi="仿宋_GB2312" w:cs="仿宋_GB2312"/>
          <w:szCs w:val="32"/>
        </w:rPr>
        <w:t>的教学区域；教学硬件资源应当包括供查阅资料的图书馆、教学专用的多媒体教室、面积</w:t>
      </w:r>
      <w:r>
        <w:rPr>
          <w:rFonts w:hint="eastAsia" w:ascii="仿宋_GB2312" w:hAnsi="仿宋_GB2312"/>
          <w:szCs w:val="32"/>
        </w:rPr>
        <w:t>≥</w:t>
      </w:r>
      <w:r>
        <w:rPr>
          <w:rFonts w:ascii="仿宋_GB2312" w:hAnsi="仿宋_GB2312"/>
          <w:szCs w:val="32"/>
        </w:rPr>
        <w:t>2000</w:t>
      </w:r>
      <w:r>
        <w:rPr>
          <w:rFonts w:hint="eastAsia" w:ascii="仿宋_GB2312" w:hAnsi="仿宋_GB2312" w:eastAsia="宋体" w:cs="宋体"/>
          <w:szCs w:val="32"/>
        </w:rPr>
        <w:t>㎡</w:t>
      </w:r>
      <w:r>
        <w:rPr>
          <w:rFonts w:hint="eastAsia" w:ascii="仿宋_GB2312" w:hAnsi="仿宋_GB2312" w:eastAsia="仿宋_GB2312" w:cs="仿宋_GB2312"/>
          <w:szCs w:val="32"/>
        </w:rPr>
        <w:t>的</w:t>
      </w:r>
      <w:r>
        <w:rPr>
          <w:rFonts w:hint="eastAsia" w:ascii="仿宋_GB2312" w:hAnsi="仿宋_GB2312" w:cs="仿宋_GB2312"/>
          <w:szCs w:val="32"/>
        </w:rPr>
        <w:t>临床技能培训与考核中心、具备相应的虚拟现实教学资源和模拟教学设备；具备创伤救治培训的模型、配有独立多媒体临床教</w:t>
      </w:r>
      <w:r>
        <w:rPr>
          <w:rFonts w:ascii="仿宋_GB2312" w:hAnsi="仿宋_GB2312"/>
          <w:szCs w:val="32"/>
        </w:rPr>
        <w:t>学示教室。</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（二）师资构成。</w:t>
      </w:r>
      <w:r>
        <w:rPr>
          <w:rFonts w:ascii="仿宋_GB2312" w:hAnsi="仿宋_GB2312"/>
          <w:szCs w:val="32"/>
        </w:rPr>
        <w:t>教学团队应</w:t>
      </w:r>
      <w:r>
        <w:rPr>
          <w:rFonts w:hint="eastAsia" w:ascii="仿宋_GB2312" w:hAnsi="仿宋_GB2312"/>
          <w:szCs w:val="32"/>
        </w:rPr>
        <w:t>当</w:t>
      </w:r>
      <w:r>
        <w:rPr>
          <w:rFonts w:ascii="仿宋_GB2312" w:hAnsi="仿宋_GB2312"/>
          <w:szCs w:val="32"/>
        </w:rPr>
        <w:t>获得国家级教学成果奖；博士学位授予点</w:t>
      </w:r>
      <w:r>
        <w:rPr>
          <w:rFonts w:hint="eastAsia" w:ascii="仿宋_GB2312" w:hAnsi="仿宋_GB2312"/>
          <w:szCs w:val="32"/>
        </w:rPr>
        <w:t>≥</w:t>
      </w:r>
      <w:r>
        <w:rPr>
          <w:rFonts w:ascii="仿宋_GB2312" w:hAnsi="仿宋_GB2312"/>
          <w:szCs w:val="32"/>
        </w:rPr>
        <w:t>8个；研究生导师人数</w:t>
      </w:r>
      <w:r>
        <w:rPr>
          <w:rFonts w:hint="eastAsia" w:ascii="仿宋_GB2312" w:hAnsi="仿宋_GB2312"/>
          <w:szCs w:val="32"/>
        </w:rPr>
        <w:t>≥</w:t>
      </w:r>
      <w:r>
        <w:rPr>
          <w:rFonts w:ascii="仿宋_GB2312" w:hAnsi="仿宋_GB2312"/>
          <w:szCs w:val="32"/>
        </w:rPr>
        <w:t>60人，其中博士研究生导师</w:t>
      </w:r>
      <w:r>
        <w:rPr>
          <w:rFonts w:hint="eastAsia" w:ascii="仿宋_GB2312" w:hAnsi="仿宋_GB2312"/>
          <w:szCs w:val="32"/>
        </w:rPr>
        <w:t>≥</w:t>
      </w:r>
      <w:r>
        <w:rPr>
          <w:rFonts w:ascii="仿宋_GB2312" w:hAnsi="仿宋_GB2312"/>
          <w:szCs w:val="32"/>
        </w:rPr>
        <w:t>25人；</w:t>
      </w:r>
      <w:r>
        <w:rPr>
          <w:rFonts w:hint="eastAsia" w:ascii="仿宋_GB2312" w:hAnsi="仿宋_GB2312"/>
          <w:szCs w:val="32"/>
        </w:rPr>
        <w:t>住院医师规范化培训专业基地≥8个，带教指导医师≥60人；有脱产带教教师及专职教学管理人员，建立有效的教学薪酬保</w:t>
      </w:r>
      <w:r>
        <w:rPr>
          <w:rFonts w:hint="default" w:ascii="仿宋_GB2312" w:hAnsi="仿宋_GB2312"/>
          <w:szCs w:val="32"/>
        </w:rPr>
        <w:t>障</w:t>
      </w:r>
      <w:r>
        <w:rPr>
          <w:rFonts w:hint="eastAsia" w:ascii="仿宋_GB2312" w:hAnsi="仿宋_GB2312"/>
          <w:szCs w:val="32"/>
        </w:rPr>
        <w:t>制度，能够充分调动带教指导医师从事教学工作的主动性、积极性。</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（三）教学培训。</w:t>
      </w:r>
      <w:r>
        <w:rPr>
          <w:rFonts w:hint="eastAsia" w:ascii="仿宋_GB2312" w:hAnsi="仿宋_GB2312"/>
          <w:szCs w:val="32"/>
        </w:rPr>
        <w:t>应当为国家住院医师规范化培训基地，其中至少9</w:t>
      </w:r>
      <w:r>
        <w:rPr>
          <w:rFonts w:ascii="仿宋_GB2312" w:hAnsi="仿宋_GB2312"/>
          <w:szCs w:val="32"/>
        </w:rPr>
        <w:t>0</w:t>
      </w:r>
      <w:r>
        <w:rPr>
          <w:rFonts w:hint="eastAsia" w:ascii="仿宋_GB2312" w:hAnsi="仿宋_GB2312"/>
          <w:szCs w:val="32"/>
        </w:rPr>
        <w:t>%的核心科室（专业）能够承担该专业住院医师规范化培训任务。</w:t>
      </w:r>
      <w:r>
        <w:rPr>
          <w:rFonts w:ascii="仿宋_GB2312" w:hAnsi="仿宋_GB2312"/>
          <w:szCs w:val="32"/>
        </w:rPr>
        <w:t>近三年，</w:t>
      </w:r>
      <w:r>
        <w:rPr>
          <w:rFonts w:hint="eastAsia" w:ascii="仿宋_GB2312" w:hAnsi="仿宋_GB2312"/>
          <w:szCs w:val="32"/>
        </w:rPr>
        <w:t>培训的住院医师首次参加住院医师规范化培训结业理论考核通过率≥95%。</w:t>
      </w:r>
      <w:r>
        <w:rPr>
          <w:rFonts w:ascii="仿宋_GB2312" w:hAnsi="仿宋_GB2312"/>
          <w:szCs w:val="32"/>
        </w:rPr>
        <w:t>承担严重创伤规范化培训等创伤相关的国家级继续教育项目</w:t>
      </w:r>
      <w:r>
        <w:rPr>
          <w:rFonts w:hint="eastAsia" w:ascii="仿宋_GB2312" w:hAnsi="仿宋_GB2312"/>
          <w:szCs w:val="32"/>
        </w:rPr>
        <w:t>≥</w:t>
      </w:r>
      <w:r>
        <w:rPr>
          <w:rFonts w:ascii="仿宋_GB2312" w:hAnsi="仿宋_GB2312"/>
          <w:szCs w:val="32"/>
        </w:rPr>
        <w:t>3个。拥有规范的创伤培训教程，配备相应的创伤培训设备和器材。近三年，开展创伤规范化救治培训班</w:t>
      </w:r>
      <w:r>
        <w:rPr>
          <w:rFonts w:hint="eastAsia" w:ascii="仿宋_GB2312" w:hAnsi="仿宋_GB2312"/>
          <w:szCs w:val="32"/>
        </w:rPr>
        <w:t>≥</w:t>
      </w:r>
      <w:r>
        <w:rPr>
          <w:rFonts w:ascii="仿宋_GB2312" w:hAnsi="仿宋_GB2312"/>
          <w:szCs w:val="32"/>
        </w:rPr>
        <w:t>100次，培训人数</w:t>
      </w:r>
      <w:r>
        <w:rPr>
          <w:rFonts w:hint="eastAsia" w:ascii="仿宋_GB2312" w:hAnsi="仿宋_GB2312"/>
          <w:szCs w:val="32"/>
        </w:rPr>
        <w:t>≥</w:t>
      </w:r>
      <w:r>
        <w:rPr>
          <w:rFonts w:ascii="仿宋_GB2312" w:hAnsi="仿宋_GB2312"/>
          <w:szCs w:val="32"/>
        </w:rPr>
        <w:t>10000人。</w:t>
      </w:r>
    </w:p>
    <w:p>
      <w:pPr>
        <w:spacing w:line="600" w:lineRule="exact"/>
        <w:ind w:firstLine="640" w:firstLineChars="200"/>
        <w:rPr>
          <w:rFonts w:ascii="仿宋_GB2312" w:hAnsi="仿宋_GB2312" w:eastAsia="黑体"/>
        </w:rPr>
      </w:pPr>
      <w:r>
        <w:rPr>
          <w:rFonts w:ascii="仿宋_GB2312" w:hAnsi="仿宋_GB2312" w:eastAsia="黑体"/>
        </w:rPr>
        <w:t>四、科研能力</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拥有高水平的科研人才及科研平台</w:t>
      </w:r>
      <w:r>
        <w:rPr>
          <w:rFonts w:hint="eastAsia" w:ascii="仿宋_GB2312" w:hAnsi="仿宋_GB2312"/>
          <w:szCs w:val="32"/>
        </w:rPr>
        <w:t>、</w:t>
      </w:r>
      <w:r>
        <w:rPr>
          <w:rFonts w:ascii="仿宋_GB2312" w:hAnsi="仿宋_GB2312"/>
          <w:szCs w:val="32"/>
        </w:rPr>
        <w:t>省部级及以上创伤相关重点实验室</w:t>
      </w:r>
      <w:r>
        <w:rPr>
          <w:rFonts w:hint="eastAsia" w:ascii="仿宋_GB2312" w:hAnsi="仿宋_GB2312"/>
          <w:szCs w:val="32"/>
        </w:rPr>
        <w:t>，</w:t>
      </w:r>
      <w:r>
        <w:rPr>
          <w:rFonts w:ascii="仿宋_GB2312" w:hAnsi="仿宋_GB2312"/>
          <w:szCs w:val="32"/>
        </w:rPr>
        <w:t>曾获得国家级创伤相关研究课题。有组织全国多中心、大样本</w:t>
      </w:r>
      <w:r>
        <w:rPr>
          <w:rFonts w:hint="eastAsia" w:ascii="仿宋_GB2312" w:hAnsi="仿宋_GB2312"/>
          <w:szCs w:val="32"/>
        </w:rPr>
        <w:t>的</w:t>
      </w:r>
      <w:r>
        <w:rPr>
          <w:rFonts w:ascii="仿宋_GB2312" w:hAnsi="仿宋_GB2312"/>
          <w:szCs w:val="32"/>
        </w:rPr>
        <w:t>临床研究的经验，具备开展国际多中心临床研究的能力。在创伤相关的临床研究、科研成果、技术转化、科研影响力方面，在全国发挥引领作用。具有国内一流的科研及转化平台，具备整合基础研究、临床研究及成果转化的能力，有建设成为国际水平的创伤医学研究中心的基础和条件。</w:t>
      </w:r>
    </w:p>
    <w:p>
      <w:pPr>
        <w:adjustRightInd w:val="0"/>
        <w:snapToGrid w:val="0"/>
        <w:spacing w:line="600" w:lineRule="exact"/>
        <w:ind w:firstLine="643" w:firstLineChars="200"/>
        <w:rPr>
          <w:rFonts w:ascii="仿宋_GB2312" w:hAnsi="仿宋_GB2312" w:eastAsia="楷体_GB2312"/>
          <w:b/>
          <w:szCs w:val="32"/>
        </w:rPr>
      </w:pPr>
      <w:r>
        <w:rPr>
          <w:rFonts w:ascii="仿宋_GB2312" w:hAnsi="仿宋_GB2312" w:eastAsia="楷体_GB2312"/>
          <w:b/>
          <w:szCs w:val="32"/>
        </w:rPr>
        <w:t>（一）平台建设与科研人才队伍。</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1.国家创伤医学中心需同时满足以下条件：</w:t>
      </w:r>
    </w:p>
    <w:p>
      <w:pPr>
        <w:adjustRightInd w:val="0"/>
        <w:snapToGrid w:val="0"/>
        <w:spacing w:line="600" w:lineRule="exact"/>
        <w:ind w:firstLine="640" w:firstLineChars="200"/>
        <w:rPr>
          <w:rFonts w:ascii="仿宋_GB2312" w:hAnsi="仿宋_GB2312"/>
          <w:szCs w:val="32"/>
        </w:rPr>
      </w:pPr>
      <w:r>
        <w:rPr>
          <w:rFonts w:hint="eastAsia" w:ascii="仿宋_GB2312" w:hAnsi="仿宋_GB2312" w:eastAsia="宋体" w:cs="宋体"/>
          <w:szCs w:val="32"/>
        </w:rPr>
        <w:t>①</w:t>
      </w:r>
      <w:r>
        <w:rPr>
          <w:rFonts w:ascii="仿宋_GB2312" w:hAnsi="仿宋_GB2312"/>
          <w:szCs w:val="32"/>
        </w:rPr>
        <w:t>具有教育部重点实验室或立项建设；</w:t>
      </w:r>
    </w:p>
    <w:p>
      <w:pPr>
        <w:adjustRightInd w:val="0"/>
        <w:snapToGrid w:val="0"/>
        <w:spacing w:line="600" w:lineRule="exact"/>
        <w:ind w:firstLine="640" w:firstLineChars="200"/>
        <w:rPr>
          <w:rFonts w:ascii="仿宋_GB2312" w:hAnsi="仿宋_GB2312"/>
          <w:szCs w:val="32"/>
        </w:rPr>
      </w:pPr>
      <w:r>
        <w:rPr>
          <w:rFonts w:hint="eastAsia" w:ascii="仿宋_GB2312" w:hAnsi="仿宋_GB2312" w:eastAsia="宋体" w:cs="宋体"/>
          <w:szCs w:val="32"/>
        </w:rPr>
        <w:t>②</w:t>
      </w:r>
      <w:r>
        <w:rPr>
          <w:rFonts w:ascii="仿宋_GB2312" w:hAnsi="仿宋_GB2312"/>
          <w:szCs w:val="32"/>
        </w:rPr>
        <w:t>国家疑难病症诊治能力提升工程</w:t>
      </w:r>
      <w:r>
        <w:rPr>
          <w:rFonts w:hint="eastAsia" w:ascii="仿宋_GB2312" w:hAnsi="仿宋_GB2312"/>
          <w:szCs w:val="32"/>
        </w:rPr>
        <w:t>≥</w:t>
      </w:r>
      <w:r>
        <w:rPr>
          <w:rFonts w:ascii="仿宋_GB2312" w:hAnsi="仿宋_GB2312"/>
          <w:szCs w:val="32"/>
        </w:rPr>
        <w:t>1项；</w:t>
      </w:r>
    </w:p>
    <w:p>
      <w:pPr>
        <w:adjustRightInd w:val="0"/>
        <w:snapToGrid w:val="0"/>
        <w:spacing w:line="600" w:lineRule="exact"/>
        <w:ind w:firstLine="640" w:firstLineChars="200"/>
        <w:rPr>
          <w:rFonts w:ascii="仿宋_GB2312" w:hAnsi="仿宋_GB2312"/>
          <w:szCs w:val="32"/>
        </w:rPr>
      </w:pPr>
      <w:r>
        <w:rPr>
          <w:rFonts w:hint="eastAsia" w:ascii="仿宋_GB2312" w:hAnsi="仿宋_GB2312" w:eastAsia="宋体" w:cs="宋体"/>
          <w:szCs w:val="32"/>
        </w:rPr>
        <w:t>③</w:t>
      </w:r>
      <w:r>
        <w:rPr>
          <w:rFonts w:ascii="仿宋_GB2312" w:hAnsi="仿宋_GB2312"/>
          <w:szCs w:val="32"/>
        </w:rPr>
        <w:t>国家级临床能力培训中心；</w:t>
      </w:r>
    </w:p>
    <w:p>
      <w:pPr>
        <w:adjustRightInd w:val="0"/>
        <w:snapToGrid w:val="0"/>
        <w:spacing w:line="600" w:lineRule="exact"/>
        <w:ind w:firstLine="640" w:firstLineChars="200"/>
        <w:rPr>
          <w:rFonts w:ascii="仿宋_GB2312" w:hAnsi="仿宋_GB2312"/>
          <w:szCs w:val="32"/>
        </w:rPr>
      </w:pPr>
      <w:r>
        <w:rPr>
          <w:rFonts w:hint="eastAsia" w:ascii="仿宋_GB2312" w:hAnsi="仿宋_GB2312" w:eastAsia="宋体" w:cs="宋体"/>
          <w:szCs w:val="32"/>
        </w:rPr>
        <w:t>④</w:t>
      </w:r>
      <w:r>
        <w:rPr>
          <w:rFonts w:hint="eastAsia" w:ascii="仿宋_GB2312" w:hAnsi="仿宋_GB2312"/>
          <w:szCs w:val="32"/>
        </w:rPr>
        <w:t>建设</w:t>
      </w:r>
      <w:r>
        <w:rPr>
          <w:rFonts w:ascii="仿宋_GB2312" w:hAnsi="仿宋_GB2312"/>
          <w:szCs w:val="32"/>
        </w:rPr>
        <w:t>有生物样本库；</w:t>
      </w:r>
    </w:p>
    <w:p>
      <w:pPr>
        <w:adjustRightInd w:val="0"/>
        <w:snapToGrid w:val="0"/>
        <w:spacing w:line="600" w:lineRule="exact"/>
        <w:ind w:firstLine="640" w:firstLineChars="200"/>
        <w:rPr>
          <w:rFonts w:ascii="仿宋_GB2312" w:hAnsi="仿宋_GB2312"/>
          <w:szCs w:val="32"/>
        </w:rPr>
      </w:pPr>
      <w:r>
        <w:rPr>
          <w:rFonts w:hint="eastAsia" w:ascii="仿宋_GB2312" w:hAnsi="仿宋_GB2312" w:eastAsia="宋体" w:cs="宋体"/>
          <w:szCs w:val="32"/>
        </w:rPr>
        <w:t>⑤</w:t>
      </w:r>
      <w:r>
        <w:rPr>
          <w:rFonts w:hint="eastAsia" w:ascii="仿宋_GB2312" w:hAnsi="仿宋_GB2312"/>
          <w:szCs w:val="32"/>
        </w:rPr>
        <w:t>建设</w:t>
      </w:r>
      <w:r>
        <w:rPr>
          <w:rFonts w:ascii="仿宋_GB2312" w:hAnsi="仿宋_GB2312"/>
          <w:szCs w:val="32"/>
        </w:rPr>
        <w:t>有临床数据中心。</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2.核心科室人才队伍同时满足以下条件：</w:t>
      </w:r>
    </w:p>
    <w:p>
      <w:pPr>
        <w:adjustRightInd w:val="0"/>
        <w:snapToGrid w:val="0"/>
        <w:spacing w:line="600" w:lineRule="exact"/>
        <w:ind w:firstLine="640" w:firstLineChars="200"/>
        <w:rPr>
          <w:rFonts w:ascii="仿宋_GB2312" w:hAnsi="仿宋_GB2312"/>
          <w:szCs w:val="32"/>
        </w:rPr>
      </w:pPr>
      <w:r>
        <w:rPr>
          <w:rFonts w:hint="eastAsia" w:ascii="仿宋_GB2312" w:hAnsi="仿宋_GB2312" w:eastAsia="宋体" w:cs="宋体"/>
          <w:szCs w:val="32"/>
        </w:rPr>
        <w:t>①</w:t>
      </w:r>
      <w:r>
        <w:rPr>
          <w:rFonts w:ascii="仿宋_GB2312" w:hAnsi="仿宋_GB2312"/>
          <w:szCs w:val="32"/>
        </w:rPr>
        <w:t>教育部创新团队发展计划数</w:t>
      </w:r>
      <w:r>
        <w:rPr>
          <w:rFonts w:hint="eastAsia" w:ascii="仿宋_GB2312" w:hAnsi="仿宋_GB2312"/>
          <w:szCs w:val="32"/>
        </w:rPr>
        <w:t>≥</w:t>
      </w:r>
      <w:r>
        <w:rPr>
          <w:rFonts w:ascii="仿宋_GB2312" w:hAnsi="仿宋_GB2312"/>
          <w:szCs w:val="32"/>
        </w:rPr>
        <w:t>1个；</w:t>
      </w:r>
    </w:p>
    <w:p>
      <w:pPr>
        <w:adjustRightInd w:val="0"/>
        <w:snapToGrid w:val="0"/>
        <w:spacing w:line="600" w:lineRule="exact"/>
        <w:ind w:firstLine="640" w:firstLineChars="200"/>
        <w:rPr>
          <w:rFonts w:ascii="仿宋_GB2312" w:hAnsi="仿宋_GB2312"/>
          <w:szCs w:val="32"/>
        </w:rPr>
      </w:pPr>
      <w:r>
        <w:rPr>
          <w:rFonts w:hint="eastAsia" w:ascii="仿宋_GB2312" w:hAnsi="仿宋_GB2312" w:eastAsia="宋体" w:cs="宋体"/>
          <w:szCs w:val="32"/>
        </w:rPr>
        <w:t>②</w:t>
      </w:r>
      <w:r>
        <w:rPr>
          <w:rFonts w:ascii="仿宋_GB2312" w:hAnsi="仿宋_GB2312"/>
          <w:szCs w:val="32"/>
        </w:rPr>
        <w:t>国家重点研发计划项目负责人人数</w:t>
      </w:r>
      <w:r>
        <w:rPr>
          <w:rFonts w:hint="eastAsia" w:ascii="仿宋_GB2312" w:hAnsi="仿宋_GB2312"/>
          <w:szCs w:val="32"/>
        </w:rPr>
        <w:t>≥</w:t>
      </w:r>
      <w:r>
        <w:rPr>
          <w:rFonts w:ascii="仿宋_GB2312" w:hAnsi="仿宋_GB2312"/>
          <w:szCs w:val="32"/>
        </w:rPr>
        <w:t>1人；</w:t>
      </w:r>
    </w:p>
    <w:p>
      <w:pPr>
        <w:adjustRightInd w:val="0"/>
        <w:snapToGrid w:val="0"/>
        <w:spacing w:line="600" w:lineRule="exact"/>
        <w:ind w:firstLine="640" w:firstLineChars="200"/>
        <w:rPr>
          <w:rFonts w:ascii="仿宋_GB2312" w:hAnsi="仿宋_GB2312"/>
          <w:szCs w:val="32"/>
        </w:rPr>
      </w:pPr>
      <w:r>
        <w:rPr>
          <w:rFonts w:hint="eastAsia" w:ascii="仿宋_GB2312" w:hAnsi="仿宋_GB2312" w:eastAsia="宋体" w:cs="宋体"/>
          <w:szCs w:val="32"/>
        </w:rPr>
        <w:t>③</w:t>
      </w:r>
      <w:r>
        <w:rPr>
          <w:rFonts w:ascii="仿宋_GB2312" w:hAnsi="仿宋_GB2312"/>
          <w:szCs w:val="32"/>
        </w:rPr>
        <w:t>国家自然科学基金杰出青年人数</w:t>
      </w:r>
      <w:r>
        <w:rPr>
          <w:rFonts w:hint="eastAsia" w:ascii="仿宋_GB2312" w:hAnsi="仿宋_GB2312"/>
          <w:szCs w:val="32"/>
        </w:rPr>
        <w:t>≥</w:t>
      </w:r>
      <w:r>
        <w:rPr>
          <w:rFonts w:ascii="仿宋_GB2312" w:hAnsi="仿宋_GB2312"/>
          <w:szCs w:val="32"/>
        </w:rPr>
        <w:t>1人；</w:t>
      </w:r>
    </w:p>
    <w:p>
      <w:pPr>
        <w:adjustRightInd w:val="0"/>
        <w:snapToGrid w:val="0"/>
        <w:spacing w:line="600" w:lineRule="exact"/>
        <w:ind w:firstLine="640" w:firstLineChars="200"/>
        <w:rPr>
          <w:rFonts w:ascii="仿宋_GB2312" w:hAnsi="仿宋_GB2312"/>
          <w:szCs w:val="32"/>
        </w:rPr>
      </w:pPr>
      <w:r>
        <w:rPr>
          <w:rFonts w:hint="eastAsia" w:ascii="仿宋_GB2312" w:hAnsi="仿宋_GB2312" w:eastAsia="宋体" w:cs="宋体"/>
          <w:szCs w:val="32"/>
        </w:rPr>
        <w:t>④</w:t>
      </w:r>
      <w:r>
        <w:rPr>
          <w:rFonts w:ascii="仿宋_GB2312" w:hAnsi="仿宋_GB2312"/>
          <w:szCs w:val="32"/>
        </w:rPr>
        <w:t>医学类国家一级学协会下设的创伤专业二级分会曾任、现任、侯任主任委员人数</w:t>
      </w:r>
      <w:r>
        <w:rPr>
          <w:rFonts w:hint="eastAsia" w:ascii="仿宋_GB2312" w:hAnsi="仿宋_GB2312"/>
          <w:szCs w:val="32"/>
        </w:rPr>
        <w:t>≥</w:t>
      </w:r>
      <w:r>
        <w:rPr>
          <w:rFonts w:ascii="仿宋_GB2312" w:hAnsi="仿宋_GB2312"/>
          <w:szCs w:val="32"/>
        </w:rPr>
        <w:t>1人；</w:t>
      </w:r>
    </w:p>
    <w:p>
      <w:pPr>
        <w:adjustRightInd w:val="0"/>
        <w:snapToGrid w:val="0"/>
        <w:spacing w:line="600" w:lineRule="exact"/>
        <w:ind w:firstLine="640" w:firstLineChars="200"/>
        <w:rPr>
          <w:rFonts w:ascii="仿宋_GB2312" w:hAnsi="仿宋_GB2312"/>
          <w:szCs w:val="32"/>
        </w:rPr>
      </w:pPr>
      <w:r>
        <w:rPr>
          <w:rFonts w:hint="eastAsia" w:ascii="仿宋_GB2312" w:hAnsi="仿宋_GB2312" w:eastAsia="宋体" w:cs="宋体"/>
          <w:szCs w:val="32"/>
        </w:rPr>
        <w:t>⑤</w:t>
      </w:r>
      <w:r>
        <w:rPr>
          <w:rFonts w:ascii="仿宋_GB2312" w:hAnsi="仿宋_GB2312"/>
          <w:szCs w:val="32"/>
        </w:rPr>
        <w:t>教育部新世纪优秀人才或青年长江学者人数</w:t>
      </w:r>
      <w:r>
        <w:rPr>
          <w:rFonts w:hint="eastAsia" w:ascii="仿宋_GB2312" w:hAnsi="仿宋_GB2312"/>
          <w:szCs w:val="32"/>
        </w:rPr>
        <w:t>≥</w:t>
      </w:r>
      <w:r>
        <w:rPr>
          <w:rFonts w:ascii="仿宋_GB2312" w:hAnsi="仿宋_GB2312"/>
          <w:szCs w:val="32"/>
        </w:rPr>
        <w:t>1人；</w:t>
      </w:r>
    </w:p>
    <w:p>
      <w:pPr>
        <w:adjustRightInd w:val="0"/>
        <w:snapToGrid w:val="0"/>
        <w:spacing w:line="600" w:lineRule="exact"/>
        <w:ind w:firstLine="640" w:firstLineChars="200"/>
        <w:rPr>
          <w:rFonts w:ascii="仿宋_GB2312" w:hAnsi="仿宋_GB2312"/>
          <w:szCs w:val="32"/>
        </w:rPr>
      </w:pPr>
      <w:r>
        <w:rPr>
          <w:rFonts w:hint="eastAsia" w:ascii="仿宋_GB2312" w:hAnsi="仿宋_GB2312" w:eastAsia="宋体" w:cs="宋体"/>
          <w:szCs w:val="32"/>
        </w:rPr>
        <w:t>⑥</w:t>
      </w:r>
      <w:r>
        <w:rPr>
          <w:rFonts w:ascii="仿宋_GB2312" w:hAnsi="仿宋_GB2312"/>
          <w:szCs w:val="32"/>
        </w:rPr>
        <w:t>国家卫生应急处置指导专家库指导专家人数</w:t>
      </w:r>
      <w:r>
        <w:rPr>
          <w:rFonts w:hint="eastAsia" w:ascii="仿宋_GB2312" w:hAnsi="仿宋_GB2312"/>
          <w:szCs w:val="32"/>
        </w:rPr>
        <w:t>≥</w:t>
      </w:r>
      <w:r>
        <w:rPr>
          <w:rFonts w:ascii="仿宋_GB2312" w:hAnsi="仿宋_GB2312"/>
          <w:szCs w:val="32"/>
        </w:rPr>
        <w:t>25人。</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（二）科研项目。</w:t>
      </w:r>
      <w:r>
        <w:rPr>
          <w:rFonts w:ascii="仿宋_GB2312" w:hAnsi="仿宋_GB2312"/>
          <w:szCs w:val="32"/>
        </w:rPr>
        <w:t>近三年，承担创伤相关的国家级重大科技研发项目（国家重点研发计划、国家重点基础研发计划（973）、国家公益性科研专项）</w:t>
      </w:r>
      <w:r>
        <w:rPr>
          <w:rFonts w:hint="eastAsia" w:ascii="仿宋_GB2312" w:hAnsi="仿宋_GB2312"/>
          <w:szCs w:val="32"/>
        </w:rPr>
        <w:t>≥</w:t>
      </w:r>
      <w:r>
        <w:rPr>
          <w:rFonts w:ascii="仿宋_GB2312" w:hAnsi="仿宋_GB2312"/>
          <w:szCs w:val="32"/>
        </w:rPr>
        <w:t>2项；主持省部级及以上科研项目</w:t>
      </w:r>
      <w:r>
        <w:rPr>
          <w:rFonts w:hint="eastAsia" w:ascii="仿宋_GB2312" w:hAnsi="仿宋_GB2312"/>
          <w:szCs w:val="32"/>
        </w:rPr>
        <w:t>≥</w:t>
      </w:r>
      <w:r>
        <w:rPr>
          <w:rFonts w:ascii="仿宋_GB2312" w:hAnsi="仿宋_GB2312"/>
          <w:szCs w:val="32"/>
        </w:rPr>
        <w:t>90项，其中国家级项目</w:t>
      </w:r>
      <w:r>
        <w:rPr>
          <w:rFonts w:hint="eastAsia" w:ascii="仿宋_GB2312" w:hAnsi="仿宋_GB2312"/>
          <w:szCs w:val="32"/>
        </w:rPr>
        <w:t>≥</w:t>
      </w:r>
      <w:r>
        <w:rPr>
          <w:rFonts w:ascii="仿宋_GB2312" w:hAnsi="仿宋_GB2312"/>
          <w:szCs w:val="32"/>
        </w:rPr>
        <w:t>50项。</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（三）科研成果。</w:t>
      </w:r>
      <w:r>
        <w:rPr>
          <w:rFonts w:ascii="仿宋_GB2312" w:hAnsi="仿宋_GB2312"/>
          <w:szCs w:val="32"/>
        </w:rPr>
        <w:t>近三年，累积获得以下科研成果：</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1.以第一完成单位获得国家级科技成果奖励</w:t>
      </w:r>
      <w:r>
        <w:rPr>
          <w:rFonts w:hint="eastAsia" w:ascii="仿宋_GB2312" w:hAnsi="仿宋_GB2312"/>
          <w:szCs w:val="32"/>
        </w:rPr>
        <w:t>≥</w:t>
      </w:r>
      <w:r>
        <w:rPr>
          <w:rFonts w:ascii="仿宋_GB2312" w:hAnsi="仿宋_GB2312"/>
          <w:szCs w:val="32"/>
        </w:rPr>
        <w:t>1项，省部级科技成果奖励</w:t>
      </w:r>
      <w:r>
        <w:rPr>
          <w:rFonts w:hint="eastAsia" w:ascii="仿宋_GB2312" w:hAnsi="仿宋_GB2312"/>
          <w:szCs w:val="32"/>
        </w:rPr>
        <w:t>≥</w:t>
      </w:r>
      <w:r>
        <w:rPr>
          <w:rFonts w:ascii="仿宋_GB2312" w:hAnsi="仿宋_GB2312"/>
          <w:szCs w:val="32"/>
        </w:rPr>
        <w:t>1项；</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2.累计获得授权国家专利</w:t>
      </w:r>
      <w:r>
        <w:rPr>
          <w:rFonts w:hint="eastAsia" w:ascii="仿宋_GB2312" w:hAnsi="仿宋_GB2312"/>
          <w:szCs w:val="32"/>
        </w:rPr>
        <w:t>≥</w:t>
      </w:r>
      <w:r>
        <w:rPr>
          <w:rFonts w:ascii="仿宋_GB2312" w:hAnsi="仿宋_GB2312"/>
          <w:szCs w:val="32"/>
        </w:rPr>
        <w:t>30项；</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3.有自主创新的预防、诊断、治疗和保健适宜技术</w:t>
      </w:r>
      <w:r>
        <w:rPr>
          <w:rFonts w:hint="eastAsia" w:ascii="仿宋_GB2312" w:hAnsi="仿宋_GB2312"/>
          <w:szCs w:val="32"/>
        </w:rPr>
        <w:t>，</w:t>
      </w:r>
      <w:r>
        <w:rPr>
          <w:rFonts w:ascii="仿宋_GB2312" w:hAnsi="仿宋_GB2312"/>
          <w:szCs w:val="32"/>
        </w:rPr>
        <w:t>并在临床得到应用与推广；</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4.发表SCI收录文章</w:t>
      </w:r>
      <w:r>
        <w:rPr>
          <w:rFonts w:hint="eastAsia" w:ascii="仿宋_GB2312" w:hAnsi="仿宋_GB2312"/>
          <w:szCs w:val="32"/>
        </w:rPr>
        <w:t>≥</w:t>
      </w:r>
      <w:r>
        <w:rPr>
          <w:rFonts w:ascii="仿宋_GB2312" w:hAnsi="仿宋_GB2312"/>
          <w:szCs w:val="32"/>
        </w:rPr>
        <w:t>200篇，且在影响因子</w:t>
      </w:r>
      <w:r>
        <w:rPr>
          <w:rFonts w:hint="eastAsia" w:ascii="仿宋_GB2312" w:hAnsi="仿宋_GB2312"/>
          <w:szCs w:val="32"/>
        </w:rPr>
        <w:t>≥</w:t>
      </w:r>
      <w:r>
        <w:rPr>
          <w:rFonts w:ascii="仿宋_GB2312" w:hAnsi="仿宋_GB2312"/>
          <w:szCs w:val="32"/>
        </w:rPr>
        <w:t>5分的期刊发表学术文章</w:t>
      </w:r>
      <w:r>
        <w:rPr>
          <w:rFonts w:hint="eastAsia" w:ascii="仿宋_GB2312" w:hAnsi="仿宋_GB2312"/>
          <w:szCs w:val="32"/>
        </w:rPr>
        <w:t>≥</w:t>
      </w:r>
      <w:r>
        <w:rPr>
          <w:rFonts w:ascii="仿宋_GB2312" w:hAnsi="仿宋_GB2312"/>
          <w:szCs w:val="32"/>
        </w:rPr>
        <w:t>30篇；在核心期刊发表论著</w:t>
      </w:r>
      <w:r>
        <w:rPr>
          <w:rFonts w:hint="eastAsia" w:ascii="仿宋_GB2312" w:hAnsi="仿宋_GB2312"/>
          <w:szCs w:val="32"/>
        </w:rPr>
        <w:t>≥</w:t>
      </w:r>
      <w:r>
        <w:rPr>
          <w:rFonts w:ascii="仿宋_GB2312" w:hAnsi="仿宋_GB2312"/>
          <w:szCs w:val="32"/>
        </w:rPr>
        <w:t>200篇；</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5.发表创伤相关的</w:t>
      </w:r>
      <w:r>
        <w:rPr>
          <w:rFonts w:hint="eastAsia" w:ascii="仿宋_GB2312" w:hAnsi="仿宋_GB2312"/>
          <w:szCs w:val="32"/>
        </w:rPr>
        <w:t>国家级</w:t>
      </w:r>
      <w:r>
        <w:rPr>
          <w:rFonts w:ascii="仿宋_GB2312" w:hAnsi="仿宋_GB2312"/>
          <w:szCs w:val="32"/>
        </w:rPr>
        <w:t>专家共识</w:t>
      </w:r>
      <w:r>
        <w:rPr>
          <w:rFonts w:hint="eastAsia" w:ascii="仿宋_GB2312" w:hAnsi="仿宋_GB2312"/>
          <w:szCs w:val="32"/>
        </w:rPr>
        <w:t>≥</w:t>
      </w:r>
      <w:r>
        <w:rPr>
          <w:rFonts w:ascii="仿宋_GB2312" w:hAnsi="仿宋_GB2312"/>
          <w:szCs w:val="32"/>
        </w:rPr>
        <w:t>10篇。</w:t>
      </w:r>
    </w:p>
    <w:p>
      <w:pPr>
        <w:spacing w:line="600" w:lineRule="exact"/>
        <w:ind w:firstLine="640" w:firstLineChars="200"/>
        <w:rPr>
          <w:rFonts w:ascii="仿宋_GB2312" w:hAnsi="仿宋_GB2312" w:eastAsia="黑体"/>
        </w:rPr>
      </w:pPr>
      <w:r>
        <w:rPr>
          <w:rFonts w:ascii="仿宋_GB2312" w:hAnsi="仿宋_GB2312" w:eastAsia="黑体"/>
        </w:rPr>
        <w:t>五、承担主要公益性任务情况</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（一）推动严重创伤规范化救治及创伤救治体系建设，发挥辐射带动作用。</w:t>
      </w:r>
      <w:r>
        <w:rPr>
          <w:rFonts w:ascii="仿宋_GB2312" w:hAnsi="仿宋_GB2312"/>
          <w:szCs w:val="32"/>
        </w:rPr>
        <w:t>在创伤领域的国家级学术团体中担任重要职务，引领我国创伤医学事业发展。近三年，担任医学类国家一级学协会常务理事及以上职务的人数</w:t>
      </w:r>
      <w:r>
        <w:rPr>
          <w:rFonts w:hint="eastAsia" w:ascii="仿宋_GB2312" w:hAnsi="仿宋_GB2312"/>
          <w:szCs w:val="32"/>
        </w:rPr>
        <w:t>≥</w:t>
      </w:r>
      <w:r>
        <w:rPr>
          <w:rFonts w:ascii="仿宋_GB2312" w:hAnsi="仿宋_GB2312"/>
          <w:szCs w:val="32"/>
        </w:rPr>
        <w:t>1人；在医学类国家一级学协会下设的创伤专业二级分会中曾任、现任、侯任主任委员的人数</w:t>
      </w:r>
      <w:r>
        <w:rPr>
          <w:rFonts w:hint="eastAsia" w:ascii="仿宋_GB2312" w:hAnsi="仿宋_GB2312"/>
          <w:szCs w:val="32"/>
        </w:rPr>
        <w:t>≥</w:t>
      </w:r>
      <w:r>
        <w:rPr>
          <w:rFonts w:ascii="仿宋_GB2312" w:hAnsi="仿宋_GB2312"/>
          <w:szCs w:val="32"/>
        </w:rPr>
        <w:t>1人</w:t>
      </w:r>
      <w:r>
        <w:rPr>
          <w:rFonts w:hint="eastAsia" w:ascii="仿宋_GB2312" w:hAnsi="仿宋_GB2312"/>
          <w:szCs w:val="32"/>
        </w:rPr>
        <w:t>或</w:t>
      </w:r>
      <w:r>
        <w:rPr>
          <w:rFonts w:ascii="仿宋_GB2312" w:hAnsi="仿宋_GB2312"/>
          <w:szCs w:val="32"/>
        </w:rPr>
        <w:t>常务委员的人数</w:t>
      </w:r>
      <w:r>
        <w:rPr>
          <w:rFonts w:hint="eastAsia" w:ascii="仿宋_GB2312" w:hAnsi="仿宋_GB2312"/>
          <w:szCs w:val="32"/>
        </w:rPr>
        <w:t>≥</w:t>
      </w:r>
      <w:r>
        <w:rPr>
          <w:rFonts w:ascii="仿宋_GB2312" w:hAnsi="仿宋_GB2312"/>
          <w:szCs w:val="32"/>
        </w:rPr>
        <w:t>2人；在国际创伤相关学术组织中担任重要职务。</w:t>
      </w:r>
    </w:p>
    <w:p>
      <w:pPr>
        <w:adjustRightInd w:val="0"/>
        <w:snapToGrid w:val="0"/>
        <w:spacing w:line="600" w:lineRule="exact"/>
        <w:ind w:firstLine="640" w:firstLineChars="200"/>
        <w:rPr>
          <w:rFonts w:ascii="仿宋_GB2312" w:hAnsi="仿宋_GB2312"/>
          <w:szCs w:val="32"/>
        </w:rPr>
      </w:pPr>
      <w:r>
        <w:rPr>
          <w:rFonts w:ascii="仿宋_GB2312" w:hAnsi="仿宋_GB2312"/>
          <w:szCs w:val="32"/>
        </w:rPr>
        <w:t>在国内医学相关学术团体或联盟担任核心或领导职务；承办国际性创伤医学论坛或会议</w:t>
      </w:r>
      <w:r>
        <w:rPr>
          <w:rFonts w:hint="eastAsia" w:ascii="仿宋_GB2312" w:hAnsi="仿宋_GB2312"/>
          <w:szCs w:val="32"/>
        </w:rPr>
        <w:t>≥</w:t>
      </w:r>
      <w:r>
        <w:rPr>
          <w:rFonts w:ascii="仿宋_GB2312" w:hAnsi="仿宋_GB2312"/>
          <w:szCs w:val="32"/>
        </w:rPr>
        <w:t>3次；指导区域性创伤救治体系建设医院</w:t>
      </w:r>
      <w:r>
        <w:rPr>
          <w:rFonts w:hint="eastAsia" w:ascii="仿宋_GB2312" w:hAnsi="仿宋_GB2312"/>
          <w:szCs w:val="32"/>
        </w:rPr>
        <w:t>≥</w:t>
      </w:r>
      <w:r>
        <w:rPr>
          <w:rFonts w:ascii="仿宋_GB2312" w:hAnsi="仿宋_GB2312"/>
          <w:szCs w:val="32"/>
        </w:rPr>
        <w:t>200家；在全国范围内开展创伤救治培训班</w:t>
      </w:r>
      <w:r>
        <w:rPr>
          <w:rFonts w:hint="eastAsia" w:ascii="仿宋_GB2312" w:hAnsi="仿宋_GB2312"/>
          <w:szCs w:val="32"/>
        </w:rPr>
        <w:t>≥</w:t>
      </w:r>
      <w:r>
        <w:rPr>
          <w:rFonts w:ascii="仿宋_GB2312" w:hAnsi="仿宋_GB2312"/>
          <w:szCs w:val="32"/>
        </w:rPr>
        <w:t>100次，培训人数</w:t>
      </w:r>
      <w:r>
        <w:rPr>
          <w:rFonts w:hint="eastAsia" w:ascii="仿宋_GB2312" w:hAnsi="仿宋_GB2312"/>
          <w:szCs w:val="32"/>
        </w:rPr>
        <w:t>≥</w:t>
      </w:r>
      <w:r>
        <w:rPr>
          <w:rFonts w:ascii="仿宋_GB2312" w:hAnsi="仿宋_GB2312"/>
          <w:szCs w:val="32"/>
        </w:rPr>
        <w:t>10000人。</w:t>
      </w:r>
    </w:p>
    <w:p>
      <w:pPr>
        <w:adjustRightInd w:val="0"/>
        <w:snapToGrid w:val="0"/>
        <w:spacing w:line="600" w:lineRule="exact"/>
        <w:ind w:firstLine="643" w:firstLineChars="200"/>
        <w:rPr>
          <w:rFonts w:hint="eastAsia" w:ascii="仿宋_GB2312" w:hAnsi="仿宋_GB2312"/>
          <w:szCs w:val="32"/>
        </w:rPr>
      </w:pPr>
      <w:r>
        <w:rPr>
          <w:rFonts w:ascii="仿宋_GB2312" w:hAnsi="仿宋_GB2312" w:eastAsia="楷体_GB2312"/>
          <w:b/>
          <w:szCs w:val="32"/>
        </w:rPr>
        <w:t>（二）建设创伤救治网络。</w:t>
      </w:r>
      <w:r>
        <w:rPr>
          <w:rFonts w:ascii="仿宋_GB2312" w:hAnsi="仿宋_GB2312"/>
          <w:szCs w:val="32"/>
        </w:rPr>
        <w:t>拥有自主知识产权的创伤急救信息联动系统，支撑创伤救治网络建设。对全国创伤救治的网络建设有引领和带动作用。创伤救治网络具有一定规模，网络覆盖医院</w:t>
      </w:r>
      <w:r>
        <w:rPr>
          <w:rFonts w:hint="eastAsia" w:ascii="仿宋_GB2312" w:hAnsi="仿宋_GB2312"/>
          <w:szCs w:val="32"/>
        </w:rPr>
        <w:t>≥</w:t>
      </w:r>
      <w:r>
        <w:rPr>
          <w:rFonts w:ascii="仿宋_GB2312" w:hAnsi="仿宋_GB2312"/>
          <w:szCs w:val="32"/>
        </w:rPr>
        <w:t>200家，网络覆盖全国80%以上的省份。</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（三）承担国家重大</w:t>
      </w:r>
      <w:r>
        <w:rPr>
          <w:rFonts w:hint="eastAsia" w:ascii="仿宋_GB2312" w:hAnsi="仿宋_GB2312" w:eastAsia="楷体_GB2312"/>
          <w:b/>
          <w:szCs w:val="32"/>
        </w:rPr>
        <w:t>突发</w:t>
      </w:r>
      <w:r>
        <w:rPr>
          <w:rFonts w:ascii="仿宋_GB2312" w:hAnsi="仿宋_GB2312" w:eastAsia="楷体_GB2312"/>
          <w:b/>
          <w:szCs w:val="32"/>
        </w:rPr>
        <w:t>公共卫生事件救援</w:t>
      </w:r>
      <w:r>
        <w:rPr>
          <w:rFonts w:hint="eastAsia" w:ascii="仿宋_GB2312" w:hAnsi="仿宋_GB2312" w:eastAsia="楷体_GB2312"/>
          <w:b/>
          <w:szCs w:val="32"/>
        </w:rPr>
        <w:t>救治</w:t>
      </w:r>
      <w:r>
        <w:rPr>
          <w:rFonts w:ascii="仿宋_GB2312" w:hAnsi="仿宋_GB2312" w:eastAsia="楷体_GB2312"/>
          <w:b/>
          <w:szCs w:val="32"/>
        </w:rPr>
        <w:t>任务。</w:t>
      </w:r>
      <w:r>
        <w:rPr>
          <w:rFonts w:hint="eastAsia" w:ascii="仿宋_GB2312" w:hAnsi="仿宋_GB2312"/>
          <w:szCs w:val="32"/>
        </w:rPr>
        <w:t>拥有包括国家卫生应急处置指导专家库的指导专家在内的固定专业救治团队。具备重大突发公共卫生事件紧急救援救治的能力，参加国家重大突发公共卫生事件救援救治≥5次。有协调、指导各级创伤中心救治大规模创伤患者的能力和经验。</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（四）承担政府任务和社会公益项目情况。</w:t>
      </w:r>
      <w:r>
        <w:rPr>
          <w:rFonts w:hint="eastAsia" w:ascii="仿宋_GB2312" w:hAnsi="仿宋_GB2312"/>
          <w:szCs w:val="32"/>
        </w:rPr>
        <w:t>积极组织开展义诊、健康扶贫、疑难重症患者会诊等活动，根据卫生健康行政管理部门要求开展对口支援工作</w:t>
      </w:r>
      <w:r>
        <w:rPr>
          <w:rFonts w:ascii="仿宋_GB2312" w:hAnsi="仿宋_GB2312"/>
          <w:szCs w:val="32"/>
        </w:rPr>
        <w:t>。</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（五）开展创伤相关知识的健康宣教工作。</w:t>
      </w:r>
      <w:r>
        <w:rPr>
          <w:rFonts w:ascii="仿宋_GB2312" w:hAnsi="仿宋_GB2312"/>
          <w:szCs w:val="32"/>
        </w:rPr>
        <w:t>拥有创伤救治公众号、网站、报刊等宣传媒介且在全国有一定影响力。具备多种途径向全社会开展防灾减灾、创伤基本急救方法等科普教育，并开展创伤自救互救知识普及和宣教工作。</w:t>
      </w:r>
    </w:p>
    <w:p>
      <w:pPr>
        <w:spacing w:line="600" w:lineRule="exact"/>
        <w:ind w:firstLine="640" w:firstLineChars="200"/>
        <w:rPr>
          <w:rFonts w:ascii="仿宋_GB2312" w:hAnsi="仿宋_GB2312" w:eastAsia="黑体"/>
        </w:rPr>
      </w:pPr>
      <w:r>
        <w:rPr>
          <w:rFonts w:ascii="仿宋_GB2312" w:hAnsi="仿宋_GB2312" w:eastAsia="黑体"/>
        </w:rPr>
        <w:t>六、落实医改任务及医院管理情况</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（一）推进分级诊疗制度建设。</w:t>
      </w:r>
      <w:r>
        <w:rPr>
          <w:rFonts w:ascii="仿宋_GB2312" w:hAnsi="仿宋_GB2312"/>
          <w:szCs w:val="32"/>
        </w:rPr>
        <w:t>在全国范围内推动以综合医院为核心的区域性创伤救治体系建设，初步建立创伤患者的评分、评估、转运及治疗制度。建立不同级别创伤救治中心的人员、设备、技术、信息化及医疗服务等方面的标准。牵头成立全国范围的创伤</w:t>
      </w:r>
      <w:r>
        <w:rPr>
          <w:rFonts w:hint="eastAsia" w:ascii="仿宋_GB2312" w:hAnsi="仿宋_GB2312"/>
          <w:szCs w:val="32"/>
        </w:rPr>
        <w:t>专科联盟</w:t>
      </w:r>
      <w:r>
        <w:rPr>
          <w:rFonts w:ascii="仿宋_GB2312" w:hAnsi="仿宋_GB2312"/>
          <w:szCs w:val="32"/>
        </w:rPr>
        <w:t>，覆盖80%以上的省级行政区域；来院进修人员</w:t>
      </w:r>
      <w:r>
        <w:rPr>
          <w:rFonts w:hint="eastAsia" w:ascii="仿宋_GB2312" w:hAnsi="仿宋_GB2312"/>
          <w:szCs w:val="32"/>
        </w:rPr>
        <w:t>≥</w:t>
      </w:r>
      <w:r>
        <w:rPr>
          <w:rFonts w:ascii="仿宋_GB2312" w:hAnsi="仿宋_GB2312"/>
          <w:szCs w:val="32"/>
        </w:rPr>
        <w:t>100人次/年，医联体内创伤救治相关会诊或病例讨论</w:t>
      </w:r>
      <w:r>
        <w:rPr>
          <w:rFonts w:hint="eastAsia" w:ascii="仿宋_GB2312" w:hAnsi="仿宋_GB2312"/>
          <w:szCs w:val="32"/>
        </w:rPr>
        <w:t>≥</w:t>
      </w:r>
      <w:r>
        <w:rPr>
          <w:rFonts w:ascii="仿宋_GB2312" w:hAnsi="仿宋_GB2312"/>
          <w:szCs w:val="32"/>
        </w:rPr>
        <w:t>100次/年。</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（二）远程医疗。</w:t>
      </w:r>
      <w:r>
        <w:rPr>
          <w:rFonts w:ascii="仿宋_GB2312" w:hAnsi="仿宋_GB2312"/>
          <w:szCs w:val="32"/>
        </w:rPr>
        <w:t>具有高水平远程医疗设备设施及服务能力。覆盖各级各类医疗机构</w:t>
      </w:r>
      <w:r>
        <w:rPr>
          <w:rFonts w:hint="eastAsia" w:ascii="仿宋_GB2312" w:hAnsi="仿宋_GB2312"/>
          <w:szCs w:val="32"/>
        </w:rPr>
        <w:t>≥</w:t>
      </w:r>
      <w:r>
        <w:rPr>
          <w:rFonts w:ascii="仿宋_GB2312" w:hAnsi="仿宋_GB2312"/>
          <w:szCs w:val="32"/>
        </w:rPr>
        <w:t>200家，定期开展</w:t>
      </w:r>
      <w:r>
        <w:rPr>
          <w:rFonts w:hint="eastAsia" w:ascii="仿宋_GB2312" w:hAnsi="仿宋_GB2312"/>
          <w:szCs w:val="32"/>
        </w:rPr>
        <w:t>远程咨询、会诊、预约挂号、远程诊断、教育培训</w:t>
      </w:r>
      <w:r>
        <w:rPr>
          <w:rFonts w:ascii="仿宋_GB2312" w:hAnsi="仿宋_GB2312"/>
          <w:szCs w:val="32"/>
        </w:rPr>
        <w:t>等远程医疗</w:t>
      </w:r>
      <w:r>
        <w:rPr>
          <w:rFonts w:hint="eastAsia" w:ascii="仿宋_GB2312" w:hAnsi="仿宋_GB2312"/>
          <w:szCs w:val="32"/>
        </w:rPr>
        <w:t>服务，</w:t>
      </w:r>
      <w:r>
        <w:rPr>
          <w:rFonts w:ascii="仿宋_GB2312" w:hAnsi="仿宋_GB2312"/>
          <w:szCs w:val="32"/>
        </w:rPr>
        <w:t>每年提供远程医疗服务</w:t>
      </w:r>
      <w:r>
        <w:rPr>
          <w:rFonts w:hint="eastAsia" w:ascii="仿宋_GB2312" w:hAnsi="仿宋_GB2312"/>
          <w:szCs w:val="32"/>
        </w:rPr>
        <w:t>≥</w:t>
      </w:r>
      <w:r>
        <w:rPr>
          <w:rFonts w:ascii="仿宋_GB2312" w:hAnsi="仿宋_GB2312"/>
          <w:szCs w:val="32"/>
        </w:rPr>
        <w:t>500例。接到远程会诊申请后，由副高级及以上职称医师提供远程会诊服务，对急危重症患者1小时内响应，对疑难患者24小时内响应。</w:t>
      </w:r>
    </w:p>
    <w:p>
      <w:pPr>
        <w:adjustRightInd w:val="0"/>
        <w:snapToGrid w:val="0"/>
        <w:spacing w:line="600" w:lineRule="exact"/>
        <w:ind w:firstLine="643" w:firstLineChars="200"/>
        <w:rPr>
          <w:rFonts w:ascii="仿宋_GB2312" w:hAnsi="仿宋_GB2312"/>
          <w:szCs w:val="32"/>
        </w:rPr>
      </w:pPr>
      <w:r>
        <w:rPr>
          <w:rFonts w:ascii="仿宋_GB2312" w:hAnsi="仿宋_GB2312" w:eastAsia="楷体_GB2312"/>
          <w:b/>
          <w:szCs w:val="32"/>
        </w:rPr>
        <w:t>（三）信息化建设。</w:t>
      </w:r>
      <w:r>
        <w:rPr>
          <w:rFonts w:hint="eastAsia" w:ascii="仿宋_GB2312" w:hAnsi="仿宋_GB2312"/>
          <w:szCs w:val="32"/>
        </w:rPr>
        <w:t>按照国家医院信息化建设有关标准和规范要求开展信息化建设。</w:t>
      </w:r>
      <w:r>
        <w:rPr>
          <w:rFonts w:ascii="仿宋_GB2312" w:hAnsi="仿宋_GB2312"/>
          <w:szCs w:val="32"/>
        </w:rPr>
        <w:t>具备完整的医疗信息化支撑体系，能够支持院前救治与院内急诊之间的信息交换，以及院内急诊与院内各个创伤</w:t>
      </w:r>
      <w:r>
        <w:rPr>
          <w:rFonts w:hint="eastAsia" w:ascii="仿宋_GB2312" w:hAnsi="仿宋_GB2312"/>
          <w:szCs w:val="32"/>
        </w:rPr>
        <w:t>相关</w:t>
      </w:r>
      <w:r>
        <w:rPr>
          <w:rFonts w:ascii="仿宋_GB2312" w:hAnsi="仿宋_GB2312"/>
          <w:szCs w:val="32"/>
        </w:rPr>
        <w:t>专科救治团队之间的信息交换。建立国家级创伤医学数据库，具备创伤数据分析处理、转化、应用能力。医院电子病历达到国家卫生健康委电子病历应用功能水平四级要求</w:t>
      </w:r>
      <w:r>
        <w:rPr>
          <w:rFonts w:hint="eastAsia" w:ascii="仿宋_GB2312" w:hAnsi="仿宋_GB2312"/>
          <w:szCs w:val="32"/>
        </w:rPr>
        <w:t>，能够为</w:t>
      </w:r>
      <w:r>
        <w:rPr>
          <w:rFonts w:ascii="仿宋_GB2312" w:hAnsi="仿宋_GB2312"/>
          <w:szCs w:val="32"/>
        </w:rPr>
        <w:t>临床、科研、教学和管理提供信息化支撑。医院核心业务</w:t>
      </w:r>
      <w:r>
        <w:rPr>
          <w:rFonts w:hint="eastAsia" w:ascii="仿宋_GB2312" w:hAnsi="仿宋_GB2312"/>
          <w:szCs w:val="32"/>
        </w:rPr>
        <w:t>信息</w:t>
      </w:r>
      <w:r>
        <w:rPr>
          <w:rFonts w:ascii="仿宋_GB2312" w:hAnsi="仿宋_GB2312"/>
          <w:szCs w:val="32"/>
        </w:rPr>
        <w:t>系统达到国家信息安全等级保护三级</w:t>
      </w:r>
      <w:r>
        <w:rPr>
          <w:rFonts w:hint="eastAsia" w:ascii="仿宋_GB2312" w:hAnsi="仿宋_GB2312"/>
          <w:szCs w:val="32"/>
        </w:rPr>
        <w:t>。</w:t>
      </w:r>
    </w:p>
    <w:p>
      <w:pPr>
        <w:adjustRightInd w:val="0"/>
        <w:snapToGrid w:val="0"/>
        <w:spacing w:line="600" w:lineRule="exact"/>
        <w:ind w:firstLine="643" w:firstLineChars="200"/>
        <w:rPr>
          <w:rFonts w:hint="eastAsia" w:ascii="仿宋_GB2312" w:hAnsi="仿宋_GB2312"/>
          <w:szCs w:val="32"/>
        </w:rPr>
      </w:pPr>
      <w:r>
        <w:rPr>
          <w:rFonts w:ascii="仿宋_GB2312" w:hAnsi="仿宋_GB2312" w:eastAsia="楷体_GB2312"/>
          <w:b/>
          <w:szCs w:val="32"/>
        </w:rPr>
        <w:t>（四）</w:t>
      </w:r>
      <w:r>
        <w:rPr>
          <w:rFonts w:hint="eastAsia" w:ascii="仿宋_GB2312" w:hAnsi="仿宋_GB2312" w:eastAsia="楷体_GB2312"/>
          <w:b/>
          <w:szCs w:val="32"/>
        </w:rPr>
        <w:t>医院</w:t>
      </w:r>
      <w:r>
        <w:rPr>
          <w:rFonts w:ascii="仿宋_GB2312" w:hAnsi="仿宋_GB2312" w:eastAsia="楷体_GB2312"/>
          <w:b/>
          <w:szCs w:val="32"/>
        </w:rPr>
        <w:t>绩效管理。</w:t>
      </w:r>
      <w:r>
        <w:rPr>
          <w:rFonts w:hint="eastAsia" w:ascii="仿宋_GB2312" w:hAnsi="仿宋_GB2312"/>
          <w:szCs w:val="32"/>
        </w:rPr>
        <w:t>建立健全现代医院管理制度，以章程为统领规范医院内部管理。</w:t>
      </w:r>
      <w:r>
        <w:rPr>
          <w:rFonts w:ascii="仿宋_GB2312" w:hAnsi="仿宋_GB2312"/>
          <w:szCs w:val="32"/>
        </w:rPr>
        <w:t>医疗服务收入（不含药品、耗材、检查检验收入）占医疗收入的比例</w:t>
      </w:r>
      <w:r>
        <w:rPr>
          <w:rFonts w:hint="eastAsia" w:ascii="仿宋_GB2312" w:hAnsi="仿宋_GB2312"/>
          <w:szCs w:val="32"/>
        </w:rPr>
        <w:t>≥</w:t>
      </w:r>
      <w:r>
        <w:rPr>
          <w:rFonts w:ascii="仿宋_GB2312" w:hAnsi="仿宋_GB2312"/>
          <w:szCs w:val="32"/>
        </w:rPr>
        <w:t>35％。近三年，日均接诊量</w:t>
      </w:r>
      <w:r>
        <w:rPr>
          <w:rFonts w:hint="eastAsia" w:ascii="仿宋_GB2312" w:hAnsi="仿宋_GB2312"/>
          <w:szCs w:val="32"/>
        </w:rPr>
        <w:t>≥</w:t>
      </w:r>
      <w:r>
        <w:rPr>
          <w:rFonts w:ascii="仿宋_GB2312" w:hAnsi="仿宋_GB2312"/>
          <w:szCs w:val="32"/>
        </w:rPr>
        <w:t>6000人次，平均住院日</w:t>
      </w:r>
      <w:r>
        <w:rPr>
          <w:rFonts w:hint="eastAsia" w:ascii="仿宋_GB2312" w:hAnsi="仿宋_GB2312" w:cs="仿宋_GB2312"/>
          <w:szCs w:val="32"/>
        </w:rPr>
        <w:t>≤</w:t>
      </w:r>
      <w:r>
        <w:rPr>
          <w:rFonts w:ascii="仿宋_GB2312" w:hAnsi="仿宋_GB2312"/>
          <w:szCs w:val="32"/>
        </w:rPr>
        <w:t>8.5天，术前平均住院日</w:t>
      </w:r>
      <w:r>
        <w:rPr>
          <w:rFonts w:hint="eastAsia" w:ascii="仿宋_GB2312" w:hAnsi="仿宋_GB2312"/>
          <w:szCs w:val="32"/>
        </w:rPr>
        <w:t>≤</w:t>
      </w:r>
      <w:r>
        <w:rPr>
          <w:rFonts w:ascii="仿宋_GB2312" w:hAnsi="仿宋_GB2312"/>
          <w:szCs w:val="32"/>
        </w:rPr>
        <w:t>3天。</w:t>
      </w:r>
      <w:r>
        <w:rPr>
          <w:rFonts w:hint="eastAsia" w:ascii="仿宋_GB2312" w:hAnsi="仿宋_GB2312"/>
          <w:szCs w:val="32"/>
        </w:rPr>
        <w:t>四级手术占比高于同级同类医院平均水平。落实“两个允许”，人员支出占医院业务支出的比重逐年提升。</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szCs w:val="32"/>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szCs w:val="32"/>
        </w:rPr>
      </w:pPr>
      <w:r>
        <w:rPr>
          <w:rFonts w:hint="eastAsia" w:ascii="仿宋_GB2312" w:hAnsi="仿宋_GB2312"/>
          <w:szCs w:val="32"/>
        </w:rPr>
        <w:t>附</w:t>
      </w:r>
      <w:r>
        <w:rPr>
          <w:rFonts w:ascii="仿宋_GB2312" w:hAnsi="仿宋_GB2312"/>
          <w:szCs w:val="32"/>
        </w:rPr>
        <w:t>表</w:t>
      </w:r>
      <w:r>
        <w:rPr>
          <w:rFonts w:hint="eastAsia" w:ascii="仿宋_GB2312" w:hAnsi="仿宋_GB2312"/>
          <w:szCs w:val="32"/>
        </w:rPr>
        <w:t>：1.严重创伤病种</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szCs w:val="32"/>
        </w:rPr>
      </w:pPr>
      <w:r>
        <w:rPr>
          <w:rFonts w:hint="eastAsia" w:ascii="仿宋_GB2312" w:hAnsi="仿宋_GB2312"/>
          <w:szCs w:val="32"/>
        </w:rPr>
        <w:t xml:space="preserve">      2.严重创伤并发症</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szCs w:val="32"/>
        </w:rPr>
      </w:pPr>
      <w:r>
        <w:rPr>
          <w:rFonts w:hint="eastAsia" w:ascii="仿宋_GB2312" w:hAnsi="仿宋_GB2312"/>
          <w:szCs w:val="32"/>
        </w:rPr>
        <w:t xml:space="preserve">      3.创伤相关核心技术清单</w:t>
      </w:r>
    </w:p>
    <w:p>
      <w:pPr/>
      <w:r>
        <w:br w:type="page"/>
      </w: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仿宋_GB2312" w:hAnsi="仿宋_GB2312" w:eastAsia="黑体" w:cs="黑体"/>
          <w:color w:val="000000"/>
          <w:sz w:val="28"/>
          <w:szCs w:val="28"/>
        </w:rPr>
      </w:pPr>
      <w:r>
        <w:rPr>
          <w:rFonts w:hint="eastAsia" w:ascii="仿宋_GB2312" w:hAnsi="仿宋_GB2312" w:eastAsia="黑体" w:cs="黑体"/>
          <w:color w:val="000000"/>
          <w:sz w:val="32"/>
          <w:szCs w:val="32"/>
        </w:rPr>
        <w:t>附表1</w:t>
      </w:r>
    </w:p>
    <w:p>
      <w:pPr>
        <w:spacing w:line="600" w:lineRule="exact"/>
        <w:jc w:val="center"/>
        <w:rPr>
          <w:rFonts w:hint="eastAsia" w:ascii="仿宋_GB2312" w:hAnsi="仿宋_GB2312" w:eastAsia="宋体" w:cs="宋体"/>
          <w:b/>
          <w:bCs/>
          <w:color w:val="000000"/>
          <w:sz w:val="44"/>
          <w:szCs w:val="44"/>
        </w:rPr>
      </w:pPr>
      <w:r>
        <w:rPr>
          <w:rFonts w:hint="eastAsia" w:ascii="仿宋_GB2312" w:hAnsi="仿宋_GB2312" w:eastAsia="宋体" w:cs="宋体"/>
          <w:b/>
          <w:bCs/>
          <w:color w:val="000000"/>
          <w:sz w:val="44"/>
          <w:szCs w:val="44"/>
        </w:rPr>
        <w:t>严重创伤病种</w:t>
      </w:r>
    </w:p>
    <w:tbl>
      <w:tblPr>
        <w:tblStyle w:val="5"/>
        <w:tblW w:w="8522" w:type="dxa"/>
        <w:tblInd w:w="0" w:type="dxa"/>
        <w:tblLayout w:type="fixed"/>
        <w:tblCellMar>
          <w:top w:w="0" w:type="dxa"/>
          <w:left w:w="108" w:type="dxa"/>
          <w:bottom w:w="0" w:type="dxa"/>
          <w:right w:w="108" w:type="dxa"/>
        </w:tblCellMar>
      </w:tblPr>
      <w:tblGrid>
        <w:gridCol w:w="908"/>
        <w:gridCol w:w="2744"/>
        <w:gridCol w:w="2693"/>
        <w:gridCol w:w="2177"/>
      </w:tblGrid>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b/>
                <w:bCs/>
                <w:color w:val="000000"/>
                <w:kern w:val="0"/>
                <w:sz w:val="24"/>
              </w:rPr>
            </w:pPr>
            <w:r>
              <w:rPr>
                <w:rFonts w:ascii="仿宋_GB2312" w:hAnsi="仿宋_GB2312" w:eastAsia="仿宋" w:cs="宋体"/>
                <w:b/>
                <w:bCs/>
                <w:color w:val="000000"/>
                <w:kern w:val="0"/>
                <w:sz w:val="24"/>
              </w:rPr>
              <w:t>序号</w:t>
            </w:r>
          </w:p>
        </w:tc>
        <w:tc>
          <w:tcPr>
            <w:tcW w:w="2744"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b/>
                <w:bCs/>
                <w:color w:val="000000"/>
                <w:kern w:val="0"/>
                <w:sz w:val="24"/>
              </w:rPr>
            </w:pPr>
            <w:r>
              <w:rPr>
                <w:rFonts w:ascii="仿宋_GB2312" w:hAnsi="仿宋_GB2312" w:eastAsia="仿宋" w:cs="宋体"/>
                <w:b/>
                <w:bCs/>
                <w:color w:val="000000"/>
                <w:kern w:val="0"/>
                <w:sz w:val="24"/>
              </w:rPr>
              <w:t>疾病名称</w:t>
            </w:r>
          </w:p>
        </w:tc>
        <w:tc>
          <w:tcPr>
            <w:tcW w:w="2693"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b/>
                <w:bCs/>
                <w:color w:val="000000"/>
                <w:kern w:val="0"/>
                <w:sz w:val="24"/>
              </w:rPr>
            </w:pPr>
            <w:r>
              <w:rPr>
                <w:rFonts w:ascii="仿宋_GB2312" w:hAnsi="仿宋_GB2312" w:eastAsia="仿宋" w:cs="宋体"/>
                <w:b/>
                <w:bCs/>
                <w:color w:val="000000"/>
                <w:kern w:val="0"/>
                <w:sz w:val="24"/>
              </w:rPr>
              <w:t>疾病名称</w:t>
            </w:r>
          </w:p>
          <w:p>
            <w:pPr>
              <w:widowControl/>
              <w:jc w:val="center"/>
              <w:rPr>
                <w:rFonts w:ascii="仿宋_GB2312" w:hAnsi="仿宋_GB2312" w:eastAsia="仿宋" w:cs="宋体"/>
                <w:b/>
                <w:bCs/>
                <w:color w:val="000000"/>
                <w:kern w:val="0"/>
                <w:sz w:val="24"/>
              </w:rPr>
            </w:pPr>
            <w:r>
              <w:rPr>
                <w:rFonts w:ascii="仿宋_GB2312" w:hAnsi="仿宋_GB2312" w:eastAsia="仿宋" w:cs="宋体"/>
                <w:b/>
                <w:bCs/>
                <w:color w:val="000000"/>
                <w:kern w:val="0"/>
                <w:sz w:val="24"/>
              </w:rPr>
              <w:t>（国家临床版2.0）</w:t>
            </w:r>
          </w:p>
        </w:tc>
        <w:tc>
          <w:tcPr>
            <w:tcW w:w="2177"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b/>
                <w:bCs/>
                <w:color w:val="000000"/>
                <w:kern w:val="0"/>
                <w:sz w:val="24"/>
              </w:rPr>
            </w:pPr>
            <w:r>
              <w:rPr>
                <w:rFonts w:ascii="仿宋_GB2312" w:hAnsi="仿宋_GB2312" w:eastAsia="仿宋" w:cs="宋体"/>
                <w:b/>
                <w:bCs/>
                <w:color w:val="000000"/>
                <w:kern w:val="0"/>
                <w:sz w:val="24"/>
              </w:rPr>
              <w:t>疾病分类代码</w:t>
            </w:r>
          </w:p>
          <w:p>
            <w:pPr>
              <w:widowControl/>
              <w:jc w:val="center"/>
              <w:rPr>
                <w:rFonts w:ascii="仿宋_GB2312" w:hAnsi="仿宋_GB2312" w:eastAsia="仿宋" w:cs="宋体"/>
                <w:b/>
                <w:bCs/>
                <w:color w:val="000000"/>
                <w:kern w:val="0"/>
                <w:sz w:val="24"/>
              </w:rPr>
            </w:pPr>
            <w:r>
              <w:rPr>
                <w:rFonts w:ascii="仿宋_GB2312" w:hAnsi="仿宋_GB2312" w:eastAsia="仿宋" w:cs="宋体"/>
                <w:b/>
                <w:bCs/>
                <w:color w:val="000000"/>
                <w:kern w:val="0"/>
                <w:sz w:val="24"/>
              </w:rPr>
              <w:t>（国家临床版2.0）</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颅骨骨折</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颅骨骨折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S02.900x002</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颅底骨骨折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S02.100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颅底骨折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S02.100x001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枕骨骨折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S02.101</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头皮撕脱伤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头皮撕脱</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S08.000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局部脑损伤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局部脑损伤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S06.300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弥散性脑损伤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弥散性脑损伤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S06.200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5</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脑干损伤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脑干损伤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S06.901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脑干挫伤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脑干挫伤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S06.201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创伤性硬脑膜外出血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创伤性硬脑膜外出血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S06.400x002</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创伤性硬膜下出血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创伤性硬膜下出血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S06.500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9</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创伤性蛛网膜下腔出血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创伤性蛛网膜下腔出血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S06.600x001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创伤性大脑水肿</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创伤性大脑水肿</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S06.100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弥漫性轴索损伤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弥漫性轴索损伤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S06.206</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12</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脑挫伤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脑挫伤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S06.202</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大脑撕裂伤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大脑撕裂伤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S06.203</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创伤性脑疝</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创伤性脑疝</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S06.204</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创伤性脑出血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创伤性小脑出血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S06.801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创伤性脑出血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S06.802</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16</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创伤性脑干出血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创伤性脑干出血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S06.803</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创伤性颅内出血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创伤性颅内出血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S06.814</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18</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颈总动脉损伤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颈总动脉损伤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S15.000x011</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19</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颈外动脉损伤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颈外动脉损伤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S15.000x021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20</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颈内动脉损伤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颈内动脉损伤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S15.000x031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21</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椎动脉损伤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椎动脉损伤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S15.100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22</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颈外静脉损伤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颈外静脉损伤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S15.200</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23</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颈部开放伤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颈部开放性伤口累及咽和颈部食管</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S11.200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颈部开放性伤口累及喉和气管</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S11.000</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24</w:t>
            </w:r>
          </w:p>
        </w:tc>
        <w:tc>
          <w:tcPr>
            <w:tcW w:w="2744"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甲状腺损伤</w:t>
            </w:r>
          </w:p>
        </w:tc>
        <w:tc>
          <w:tcPr>
            <w:tcW w:w="2693"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甲状腺开放性损伤</w:t>
            </w:r>
          </w:p>
        </w:tc>
        <w:tc>
          <w:tcPr>
            <w:tcW w:w="2177"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S11.100x001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25</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颈脊髓损伤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颈部脊髓损伤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S14.101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26</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眶底粉碎性骨折</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眶底粉碎性骨折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S02.300x002</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上颌骨骨折</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上颌骨骨折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S02.400x003</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28</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喉挫伤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喉挫伤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S10.001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咽喉挫伤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S10.000</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29</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多发性肋骨骨折</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肋骨多处骨折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S22.400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30</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血胸</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创伤性血胸</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S27.100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31</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气胸</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创伤性气胸</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S27.000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32</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血气胸</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创伤性血气胸</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S27.200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33</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张力性气胸</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张力性气胸</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J93.003</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34</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连枷胸</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连枷胸</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S22.500</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35</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开放性胸部损伤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开放性胸部损伤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S21.901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36</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肺穿透伤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肺穿透伤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S27.313</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肺挫伤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肺挫伤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S27.301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38</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气管</w:t>
            </w:r>
            <w:r>
              <w:rPr>
                <w:rFonts w:ascii="仿宋_GB2312" w:hAnsi="仿宋_GB2312" w:eastAsia="仿宋"/>
                <w:color w:val="000000"/>
                <w:kern w:val="0"/>
                <w:sz w:val="24"/>
              </w:rPr>
              <w:t>/</w:t>
            </w:r>
            <w:r>
              <w:rPr>
                <w:rFonts w:ascii="仿宋_GB2312" w:hAnsi="仿宋_GB2312" w:eastAsia="仿宋" w:cs="宋体"/>
                <w:color w:val="000000"/>
                <w:kern w:val="0"/>
                <w:sz w:val="24"/>
              </w:rPr>
              <w:t>支气管损伤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支气管损伤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S27.400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开放性气管损伤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S11.001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创伤性胸部气管破裂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S27.501</w:t>
            </w:r>
          </w:p>
        </w:tc>
      </w:tr>
      <w:tr>
        <w:tblPrEx>
          <w:tblLayout w:type="fixed"/>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胸部气管损伤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S27.500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39</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食管破裂</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食管破裂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K22.301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40</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心脏穿透性损伤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心脏穿透性损伤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S26.800x082</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41</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创伤性心脏破裂</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创伤性心脏破裂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S26.800x083</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42</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胸主动脉损伤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胸主动脉损伤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S25.000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43</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创伤性心包积血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创伤性心包积血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S26.000x001</w:t>
            </w:r>
          </w:p>
        </w:tc>
      </w:tr>
      <w:tr>
        <w:tblPrEx>
          <w:tblLayout w:type="fixed"/>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44</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胸部血管损伤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肺血管损伤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S25.400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奇静脉损伤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S25.801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无名静脉损伤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S25.300x001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上腔静脉损伤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S25.200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锁骨下静脉损伤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S25.301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无名动脉损伤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S25.100x002</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锁骨下动脉损伤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S25.101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45</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肋间血管损伤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肋间血管损伤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S25.500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46</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创伤性膈疝</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创伤性膈疝</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S27.805</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47</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创伤性肺破裂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创伤性肺破裂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S27.302</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48</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胸椎骨折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胸椎骨折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S22.000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49</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胸脊髓损伤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胸部脊髓损伤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S24.101</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50</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创伤性胆总管破裂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创伤性胆总管破裂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S36.103</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51</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创伤性胰腺破裂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创伤性胰腺破裂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S36.201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52</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创伤性胃破裂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创伤性胃破裂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S36.301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53</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创伤性小肠破裂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创伤性小肠破裂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S36.404</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创伤性十二指肠破裂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S36.401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创伤性空肠破裂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S36.402</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创伤性回肠破裂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S36.403</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54</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创伤性结肠破裂</w:t>
            </w:r>
          </w:p>
        </w:tc>
        <w:tc>
          <w:tcPr>
            <w:tcW w:w="2693"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结肠损伤</w:t>
            </w:r>
          </w:p>
        </w:tc>
        <w:tc>
          <w:tcPr>
            <w:tcW w:w="2177"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S36.500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创伤性结肠破裂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S36.501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55</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创伤性直肠破裂</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直肠损伤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S36.600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创伤性直肠破裂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S36.601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56</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腹内多器官损伤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多个腹内器官损伤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S36.700</w:t>
            </w:r>
          </w:p>
        </w:tc>
      </w:tr>
      <w:tr>
        <w:tblPrEx>
          <w:tblLayout w:type="fixed"/>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创伤性腹内多器官破裂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S36.701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创伤性腹膜后血肿</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创伤性腹膜后血肿</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S36.803</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58</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肠系膜损伤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肠系膜损伤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S36.800x022</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59</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肾破裂</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创伤性肾破裂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创伤性肾血肿</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S37.003</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创伤性肾周血肿</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S37.004</w:t>
            </w:r>
          </w:p>
        </w:tc>
      </w:tr>
      <w:tr>
        <w:tblPrEx>
          <w:tblLayout w:type="fixed"/>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60</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输尿管损伤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创伤性输尿管断裂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S37.101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开放性输尿管断裂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S37.111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61</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膀胱破裂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创伤性膀胱破裂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S37.201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62</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尿道损伤</w:t>
            </w:r>
          </w:p>
        </w:tc>
        <w:tc>
          <w:tcPr>
            <w:tcW w:w="2693"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创伤性尿道断裂</w:t>
            </w:r>
          </w:p>
        </w:tc>
        <w:tc>
          <w:tcPr>
            <w:tcW w:w="2177"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S37.301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开放性尿道损伤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S37.310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63</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子宫损伤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子宫损伤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S37.600</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64</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盆腔多个器官损伤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多个盆腔器官损伤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S37.700</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65</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外生殖器挤压伤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外生殖器挤压伤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S38.000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外生殖器创伤性切断</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S38.200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66</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会阴撕裂伤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创伤性会阴裂伤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S31.001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腹壁破损</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腹壁开放性伤口</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S31.100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68</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骨盆离断</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创伤性骨盆切断</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S38.303</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69</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创伤性腋动脉破裂</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创伤性腋动脉破裂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S45.001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70</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创伤性肱动脉损伤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创伤性肱动脉损伤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S45.101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71</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腋或肱静脉损伤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腋或肱静脉损伤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S45.200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72</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髋关节脱位</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髋关节脱位</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S73.000x002</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73</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股骨粗隆间骨折</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开放性股骨粗隆间骨折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S72.110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74</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股骨骨折</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股骨骨折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S72.900</w:t>
            </w:r>
          </w:p>
        </w:tc>
      </w:tr>
      <w:tr>
        <w:tblPrEx>
          <w:tblLayout w:type="fixed"/>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75</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股动脉损伤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股动脉损伤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S75.000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创伤性股深动脉破裂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S75.001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76</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胸伴腹和下背及骨盆开放性损伤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胸伴腹和下背及骨盆开放性损伤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T01.100x001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股静脉损伤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在髋和大腿水平的股静脉损伤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S75.100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78</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颈椎骨折脱位</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颈部开放性损伤伴颈椎脱位</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S11.800x021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79</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髋伴有大腿挤压伤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髋伴有大腿挤压伤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S77.200</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80</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髋部创伤性切断</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髋部创伤性切断</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S78.000</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81</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多发肢体骨折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开放性多发性肢体骨折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T02.610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双上肢多发性骨折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T02.400x001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开放性多发性双上肢</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T02.410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双下肢多发性骨折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T02.500x001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开放性多发性双下肢</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T02.510</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上肢伴下肢多发性骨折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T02.600x001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82</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胸部伴有下背和骨盆及四肢骨折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胸伴下背和骨盆及四肢骨折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T02.700x001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开放性胸部伴有下背和骨盆及四肢骨折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T02.710</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83</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多发性脱位、扭伤和劳损</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多处脱位、扭伤和劳损</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T03.900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累及头部伴有颈部的</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脱位、扭伤和劳损</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T03.000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累及上肢多个部位的</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脱位、扭伤和劳损</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T03.200</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累及下肢多个部位的</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脱位、扭伤和劳损</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T03.300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累及上肢伴有下肢多个部位的脱位、扭伤和</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劳损</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T03.400</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84</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多处挤压伤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全身性挤压伤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T04.901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累及胸部伴有腹部、</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下背和骨盆的挤压伤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T04.100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上肢多处挤压伤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T04.200x001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下肢多处挤压伤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T04.300x001</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上肢和下肢多处挤压伤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T04.400x001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胸部伴有腹部、下背和骨盆及四肢的挤压伤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T04.700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多处挤压伤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T04.900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85</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在肩和上臂水平的创伤性切断</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在肩和上臂水平的创伤性切断</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S48.900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86</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尺骨骨折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尺骨骨折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S52.201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87</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桡骨骨折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桡骨骨折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S52.801</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88</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肱骨骨折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肱骨骨折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S42.301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89</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尺神经损伤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上臂尺神经损伤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S44.000x001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前臂尺神经损伤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S54.000x001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90</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桡神经损伤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前臂桡神经损伤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S54.200x001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上臂桡神经损伤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S44.200x001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91</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膝关节后十字韧带完全断裂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膝关节后十字韧带完全断裂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S83.500x042</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92</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肘关节骨折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肘关节骨折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S52.000x001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93</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踝和足开放性损伤伴</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踝和足开放性损伤伴</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S91.300x811</w:t>
            </w:r>
          </w:p>
        </w:tc>
      </w:tr>
      <w:tr>
        <w:tblPrEx>
          <w:tblLayout w:type="fixed"/>
          <w:tblCellMar>
            <w:top w:w="0" w:type="dxa"/>
            <w:left w:w="108" w:type="dxa"/>
            <w:bottom w:w="0" w:type="dxa"/>
            <w:right w:w="108" w:type="dxa"/>
          </w:tblCellMar>
        </w:tblPrEx>
        <w:trPr>
          <w:cantSplit/>
          <w:trHeight w:val="1430"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94</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上肢和下肢任何组合的创伤性切断</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上肢和下肢任何组合的创伤性切断</w:t>
            </w:r>
            <w:r>
              <w:rPr>
                <w:rFonts w:ascii="仿宋_GB2312" w:hAnsi="仿宋_GB2312" w:eastAsia="仿宋"/>
                <w:color w:val="000000"/>
                <w:kern w:val="0"/>
                <w:sz w:val="24"/>
              </w:rPr>
              <w:t>\</w:t>
            </w:r>
            <w:r>
              <w:rPr>
                <w:rFonts w:ascii="仿宋_GB2312" w:hAnsi="仿宋_GB2312" w:eastAsia="仿宋"/>
                <w:color w:val="000000"/>
                <w:kern w:val="0"/>
                <w:sz w:val="24"/>
              </w:rPr>
              <w:br w:type="textWrapping"/>
            </w:r>
            <w:r>
              <w:rPr>
                <w:rFonts w:ascii="仿宋_GB2312" w:hAnsi="仿宋_GB2312" w:eastAsia="仿宋"/>
                <w:color w:val="000000"/>
                <w:kern w:val="0"/>
                <w:sz w:val="24"/>
              </w:rPr>
              <w:t>[</w:t>
            </w:r>
            <w:r>
              <w:rPr>
                <w:rFonts w:ascii="仿宋_GB2312" w:hAnsi="仿宋_GB2312" w:eastAsia="仿宋" w:cs="宋体"/>
                <w:color w:val="000000"/>
                <w:kern w:val="0"/>
                <w:sz w:val="24"/>
              </w:rPr>
              <w:t>任何水平</w:t>
            </w:r>
            <w:r>
              <w:rPr>
                <w:rFonts w:ascii="仿宋_GB2312" w:hAnsi="仿宋_GB2312" w:eastAsia="仿宋"/>
                <w:color w:val="000000"/>
                <w:kern w:val="0"/>
                <w:sz w:val="24"/>
              </w:rPr>
              <w:t>]</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T05.600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95</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胸内器官伴有腹内和盆腔内器官损伤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胸内器官伴腹内及盆腔器官损伤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T06.500x002</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96</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多脏器损伤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多脏器损伤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T06.501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97</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臂丛损伤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臂丛损伤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S14.300</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98</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脊神经损伤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脊神经损伤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T09.400x001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99</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马尾损伤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马尾损伤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S34.300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100</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脊髓损伤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脊髓损伤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T09.300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101</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脊髓完全损伤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脊髓完全损伤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T09.300x003</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102</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创伤性截瘫</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创伤性截瘫</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T09.301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103</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骨盆骨折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开放性骨盆骨折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S32.812</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创伤性耻骨联合破裂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S33.400x001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腰骶部脊柱骨折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S32.803</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开放性腰骶部脊柱骨折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S32.813</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开放性腰椎和骨盆特指部位骨折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S32.810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开放性坐骨骨折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S32.811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腰椎和骨盆多处骨折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S32.700</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多发性骨盆骨折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S32.701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104</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胫骨骨折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胫骨骨折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S82.202</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105</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骶骨骨折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骶骨骨折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S32.100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开放性骶骨骨折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S32.110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106</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髂骨骨折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髂骨骨折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S32.300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107</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腰椎骨折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多发性腰椎骨折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S32.702</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108</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寰枢椎半脱位</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寰枢椎半脱位</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S13.102</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109</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寰枢椎脱位</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寰枢椎脱位</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S13.103</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110</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颈椎关节交锁</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颈椎关节交锁</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S13.400x006</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111</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骶髂关节脱位</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骶髂关节脱位</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S33.200x003</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112</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腹主动脉损伤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腹主动脉损伤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S35.000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113</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腹部血管损伤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腹部血管损伤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S35.900x001</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114</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腹部多处血管损伤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腹部多处血管损伤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S35.701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115</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下腔静脉损伤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下腔静脉损伤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S35.100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116</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腹腔动脉损伤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腹腔动脉损伤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S35.200x001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117</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肠系膜动脉损伤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肠系膜动脉损伤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S35.201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创伤性肠系膜血管损伤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S35.903</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118</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胃动脉损伤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胃动脉损伤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S35.202</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创伤性胃动脉破裂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S35.203</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119</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肝破裂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创伤性肝破裂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S36.102</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120</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脾破裂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创伤性脾破裂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S36.002</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121</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门静脉破裂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门静脉损伤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S35.300x001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122</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肾血管损伤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肾血管损伤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S35.400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创伤性肾静脉破裂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S35.401</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创伤性肾动脉破裂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S35.402</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123</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髂血管损伤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髂血管损伤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S35.500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创伤性髂动脉破裂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S35.501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创伤性髂静脉破裂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S35.502</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124</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腹、下背和骨盆水平的多处血管损伤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在腹、下背和骨盆水平的多处血管损伤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S35.700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125</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多发伤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累及身体多个部位的</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T00-T07</w:t>
            </w:r>
          </w:p>
        </w:tc>
      </w:tr>
      <w:tr>
        <w:tblPrEx>
          <w:tblLayout w:type="fixed"/>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126</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烧伤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w:t>
            </w:r>
            <w:r>
              <w:rPr>
                <w:rFonts w:ascii="仿宋_GB2312" w:hAnsi="仿宋_GB2312" w:eastAsia="仿宋"/>
                <w:color w:val="000000"/>
                <w:kern w:val="0"/>
                <w:sz w:val="24"/>
              </w:rPr>
              <w:t>30</w:t>
            </w:r>
            <w:r>
              <w:rPr>
                <w:rFonts w:hint="eastAsia" w:ascii="仿宋_GB2312" w:hAnsi="仿宋_GB2312" w:eastAsia="仿宋"/>
                <w:color w:val="000000"/>
                <w:kern w:val="0"/>
                <w:sz w:val="24"/>
              </w:rPr>
              <w:t>%</w:t>
            </w:r>
            <w:r>
              <w:rPr>
                <w:rFonts w:ascii="仿宋_GB2312" w:hAnsi="仿宋_GB2312" w:eastAsia="仿宋"/>
                <w:color w:val="000000"/>
                <w:kern w:val="0"/>
                <w:sz w:val="24"/>
              </w:rPr>
              <w:t>-39%</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T31.300x001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w:t>
            </w:r>
            <w:r>
              <w:rPr>
                <w:rFonts w:ascii="仿宋_GB2312" w:hAnsi="仿宋_GB2312" w:eastAsia="仿宋"/>
                <w:color w:val="000000"/>
                <w:kern w:val="0"/>
                <w:sz w:val="24"/>
              </w:rPr>
              <w:t>40</w:t>
            </w:r>
            <w:r>
              <w:rPr>
                <w:rFonts w:hint="eastAsia" w:ascii="仿宋_GB2312" w:hAnsi="仿宋_GB2312" w:eastAsia="仿宋"/>
                <w:color w:val="000000"/>
                <w:kern w:val="0"/>
                <w:sz w:val="24"/>
              </w:rPr>
              <w:t>%</w:t>
            </w:r>
            <w:r>
              <w:rPr>
                <w:rFonts w:ascii="仿宋_GB2312" w:hAnsi="仿宋_GB2312" w:eastAsia="仿宋"/>
                <w:color w:val="000000"/>
                <w:kern w:val="0"/>
                <w:sz w:val="24"/>
              </w:rPr>
              <w:t>-49%</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T31.400x001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w:t>
            </w:r>
            <w:r>
              <w:rPr>
                <w:rFonts w:ascii="仿宋_GB2312" w:hAnsi="仿宋_GB2312" w:eastAsia="仿宋"/>
                <w:color w:val="000000"/>
                <w:kern w:val="0"/>
                <w:sz w:val="24"/>
              </w:rPr>
              <w:t>50</w:t>
            </w:r>
            <w:r>
              <w:rPr>
                <w:rFonts w:hint="eastAsia" w:ascii="仿宋_GB2312" w:hAnsi="仿宋_GB2312" w:eastAsia="仿宋"/>
                <w:color w:val="000000"/>
                <w:kern w:val="0"/>
                <w:sz w:val="24"/>
              </w:rPr>
              <w:t>%</w:t>
            </w:r>
            <w:r>
              <w:rPr>
                <w:rFonts w:ascii="仿宋_GB2312" w:hAnsi="仿宋_GB2312" w:eastAsia="仿宋"/>
                <w:color w:val="000000"/>
                <w:kern w:val="0"/>
                <w:sz w:val="24"/>
              </w:rPr>
              <w:t>-59%</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T31.500x001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w:t>
            </w:r>
            <w:r>
              <w:rPr>
                <w:rFonts w:ascii="仿宋_GB2312" w:hAnsi="仿宋_GB2312" w:eastAsia="仿宋"/>
                <w:color w:val="000000"/>
                <w:kern w:val="0"/>
                <w:sz w:val="24"/>
              </w:rPr>
              <w:t>60</w:t>
            </w:r>
            <w:r>
              <w:rPr>
                <w:rFonts w:hint="eastAsia" w:ascii="仿宋_GB2312" w:hAnsi="仿宋_GB2312" w:eastAsia="仿宋"/>
                <w:color w:val="000000"/>
                <w:kern w:val="0"/>
                <w:sz w:val="24"/>
              </w:rPr>
              <w:t>%</w:t>
            </w:r>
            <w:r>
              <w:rPr>
                <w:rFonts w:ascii="仿宋_GB2312" w:hAnsi="仿宋_GB2312" w:eastAsia="仿宋"/>
                <w:color w:val="000000"/>
                <w:kern w:val="0"/>
                <w:sz w:val="24"/>
              </w:rPr>
              <w:t>-69%</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T31.600x001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w:t>
            </w:r>
            <w:r>
              <w:rPr>
                <w:rFonts w:ascii="仿宋_GB2312" w:hAnsi="仿宋_GB2312" w:eastAsia="仿宋"/>
                <w:color w:val="000000"/>
                <w:kern w:val="0"/>
                <w:sz w:val="24"/>
              </w:rPr>
              <w:t>70</w:t>
            </w:r>
            <w:r>
              <w:rPr>
                <w:rFonts w:hint="eastAsia" w:ascii="仿宋_GB2312" w:hAnsi="仿宋_GB2312" w:eastAsia="仿宋"/>
                <w:color w:val="000000"/>
                <w:kern w:val="0"/>
                <w:sz w:val="24"/>
              </w:rPr>
              <w:t>%</w:t>
            </w:r>
            <w:r>
              <w:rPr>
                <w:rFonts w:ascii="仿宋_GB2312" w:hAnsi="仿宋_GB2312" w:eastAsia="仿宋"/>
                <w:color w:val="000000"/>
                <w:kern w:val="0"/>
                <w:sz w:val="24"/>
              </w:rPr>
              <w:t>-79%</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T31.700x001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w:t>
            </w:r>
            <w:r>
              <w:rPr>
                <w:rFonts w:ascii="仿宋_GB2312" w:hAnsi="仿宋_GB2312" w:eastAsia="仿宋"/>
                <w:color w:val="000000"/>
                <w:kern w:val="0"/>
                <w:sz w:val="24"/>
              </w:rPr>
              <w:t>80</w:t>
            </w:r>
            <w:r>
              <w:rPr>
                <w:rFonts w:hint="eastAsia" w:ascii="仿宋_GB2312" w:hAnsi="仿宋_GB2312" w:eastAsia="仿宋"/>
                <w:color w:val="000000"/>
                <w:kern w:val="0"/>
                <w:sz w:val="24"/>
              </w:rPr>
              <w:t>%</w:t>
            </w:r>
            <w:r>
              <w:rPr>
                <w:rFonts w:ascii="仿宋_GB2312" w:hAnsi="仿宋_GB2312" w:eastAsia="仿宋"/>
                <w:color w:val="000000"/>
                <w:kern w:val="0"/>
                <w:sz w:val="24"/>
              </w:rPr>
              <w:t>-89%</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T31.800x001</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体表大于</w:t>
            </w:r>
            <w:r>
              <w:rPr>
                <w:rFonts w:ascii="仿宋_GB2312" w:hAnsi="仿宋_GB2312" w:eastAsia="仿宋"/>
                <w:color w:val="000000"/>
                <w:kern w:val="0"/>
                <w:sz w:val="24"/>
              </w:rPr>
              <w:t>90%</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T31.900x001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127</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多处冻伤伴组织坏死</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多处冻伤伴组织坏死</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T35.100x001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128</w:t>
            </w:r>
          </w:p>
        </w:tc>
        <w:tc>
          <w:tcPr>
            <w:tcW w:w="2744"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失血性休克</w:t>
            </w:r>
          </w:p>
        </w:tc>
        <w:tc>
          <w:tcPr>
            <w:tcW w:w="2693"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失血性休克</w:t>
            </w:r>
          </w:p>
        </w:tc>
        <w:tc>
          <w:tcPr>
            <w:tcW w:w="2177"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R57.101</w:t>
            </w:r>
          </w:p>
        </w:tc>
      </w:tr>
    </w:tbl>
    <w:p>
      <w:pPr>
        <w:spacing w:line="600" w:lineRule="exact"/>
        <w:jc w:val="center"/>
        <w:rPr>
          <w:rFonts w:hint="eastAsia" w:ascii="仿宋_GB2312" w:hAnsi="仿宋_GB2312" w:eastAsia="宋体" w:cs="宋体"/>
          <w:b/>
          <w:bCs/>
          <w:color w:val="000000"/>
          <w:sz w:val="44"/>
          <w:szCs w:val="44"/>
        </w:rPr>
      </w:pPr>
    </w:p>
    <w:p>
      <w:pPr>
        <w:spacing w:line="600" w:lineRule="exact"/>
        <w:jc w:val="left"/>
        <w:rPr>
          <w:rFonts w:hint="eastAsia" w:ascii="仿宋_GB2312" w:hAnsi="仿宋_GB2312" w:eastAsia="黑体" w:cs="黑体"/>
          <w:color w:val="000000"/>
          <w:sz w:val="28"/>
          <w:szCs w:val="28"/>
        </w:rPr>
      </w:pPr>
      <w:r>
        <w:rPr>
          <w:rFonts w:hint="eastAsia" w:ascii="仿宋_GB2312" w:hAnsi="仿宋_GB2312" w:eastAsia="黑体" w:cs="黑体"/>
          <w:color w:val="000000"/>
          <w:sz w:val="28"/>
          <w:szCs w:val="28"/>
        </w:rPr>
        <w:br w:type="page"/>
      </w:r>
      <w:r>
        <w:rPr>
          <w:rFonts w:hint="eastAsia" w:ascii="仿宋_GB2312" w:hAnsi="仿宋_GB2312" w:eastAsia="黑体" w:cs="黑体"/>
          <w:color w:val="000000"/>
          <w:sz w:val="32"/>
          <w:szCs w:val="32"/>
        </w:rPr>
        <w:t>附表2</w:t>
      </w:r>
    </w:p>
    <w:p>
      <w:pPr>
        <w:jc w:val="center"/>
        <w:rPr>
          <w:rFonts w:ascii="仿宋_GB2312" w:hAnsi="仿宋_GB2312" w:eastAsia="宋体" w:cs="宋体"/>
          <w:b/>
          <w:bCs/>
          <w:color w:val="000000"/>
          <w:sz w:val="44"/>
          <w:szCs w:val="44"/>
        </w:rPr>
      </w:pPr>
      <w:r>
        <w:rPr>
          <w:rFonts w:hint="eastAsia" w:ascii="仿宋_GB2312" w:hAnsi="仿宋_GB2312" w:eastAsia="宋体" w:cs="宋体"/>
          <w:b/>
          <w:bCs/>
          <w:color w:val="000000"/>
          <w:sz w:val="44"/>
          <w:szCs w:val="44"/>
        </w:rPr>
        <w:t>严重创伤并发症</w:t>
      </w:r>
    </w:p>
    <w:tbl>
      <w:tblPr>
        <w:tblStyle w:val="5"/>
        <w:tblW w:w="85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6"/>
        <w:gridCol w:w="2250"/>
        <w:gridCol w:w="2853"/>
        <w:gridCol w:w="26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s="宋体"/>
                <w:b/>
                <w:bCs/>
                <w:color w:val="000000"/>
                <w:kern w:val="0"/>
                <w:sz w:val="24"/>
              </w:rPr>
            </w:pPr>
            <w:r>
              <w:rPr>
                <w:rFonts w:hint="eastAsia" w:ascii="仿宋_GB2312" w:hAnsi="仿宋_GB2312" w:eastAsia="仿宋" w:cs="宋体"/>
                <w:b/>
                <w:bCs/>
                <w:color w:val="000000"/>
                <w:kern w:val="0"/>
                <w:sz w:val="24"/>
              </w:rPr>
              <w:t>序号</w:t>
            </w:r>
          </w:p>
        </w:tc>
        <w:tc>
          <w:tcPr>
            <w:tcW w:w="2250" w:type="dxa"/>
            <w:vAlign w:val="center"/>
          </w:tcPr>
          <w:p>
            <w:pPr>
              <w:widowControl/>
              <w:jc w:val="center"/>
              <w:rPr>
                <w:rFonts w:hint="eastAsia" w:ascii="仿宋_GB2312" w:hAnsi="仿宋_GB2312" w:eastAsia="仿宋" w:cs="宋体"/>
                <w:b/>
                <w:bCs/>
                <w:color w:val="000000"/>
                <w:kern w:val="0"/>
                <w:sz w:val="24"/>
              </w:rPr>
            </w:pPr>
            <w:r>
              <w:rPr>
                <w:rFonts w:hint="eastAsia" w:ascii="仿宋_GB2312" w:hAnsi="仿宋_GB2312" w:eastAsia="仿宋" w:cs="宋体"/>
                <w:b/>
                <w:bCs/>
                <w:color w:val="000000"/>
                <w:kern w:val="0"/>
                <w:sz w:val="24"/>
              </w:rPr>
              <w:t>疾病名称</w:t>
            </w:r>
          </w:p>
        </w:tc>
        <w:tc>
          <w:tcPr>
            <w:tcW w:w="2853" w:type="dxa"/>
            <w:vAlign w:val="center"/>
          </w:tcPr>
          <w:p>
            <w:pPr>
              <w:widowControl/>
              <w:jc w:val="center"/>
              <w:rPr>
                <w:rFonts w:ascii="仿宋_GB2312" w:hAnsi="仿宋_GB2312" w:eastAsia="仿宋" w:cs="宋体"/>
                <w:b/>
                <w:bCs/>
                <w:color w:val="000000"/>
                <w:kern w:val="0"/>
                <w:sz w:val="24"/>
              </w:rPr>
            </w:pPr>
            <w:r>
              <w:rPr>
                <w:rFonts w:hint="eastAsia" w:ascii="仿宋_GB2312" w:hAnsi="仿宋_GB2312" w:eastAsia="仿宋" w:cs="宋体"/>
                <w:b/>
                <w:bCs/>
                <w:color w:val="000000"/>
                <w:kern w:val="0"/>
                <w:sz w:val="24"/>
              </w:rPr>
              <w:t>疾病名称</w:t>
            </w:r>
          </w:p>
          <w:p>
            <w:pPr>
              <w:widowControl/>
              <w:jc w:val="center"/>
              <w:rPr>
                <w:rFonts w:hint="eastAsia" w:ascii="仿宋_GB2312" w:hAnsi="仿宋_GB2312" w:eastAsia="仿宋" w:cs="宋体"/>
                <w:b/>
                <w:bCs/>
                <w:color w:val="000000"/>
                <w:kern w:val="0"/>
                <w:sz w:val="24"/>
              </w:rPr>
            </w:pPr>
            <w:r>
              <w:rPr>
                <w:rFonts w:hint="eastAsia" w:ascii="仿宋_GB2312" w:hAnsi="仿宋_GB2312" w:eastAsia="仿宋" w:cs="宋体"/>
                <w:b/>
                <w:bCs/>
                <w:color w:val="000000"/>
                <w:kern w:val="0"/>
                <w:sz w:val="24"/>
              </w:rPr>
              <w:t>（国家临床版2.0）</w:t>
            </w:r>
          </w:p>
        </w:tc>
        <w:tc>
          <w:tcPr>
            <w:tcW w:w="2603" w:type="dxa"/>
            <w:vAlign w:val="center"/>
          </w:tcPr>
          <w:p>
            <w:pPr>
              <w:widowControl/>
              <w:jc w:val="center"/>
              <w:rPr>
                <w:rFonts w:ascii="仿宋_GB2312" w:hAnsi="仿宋_GB2312" w:eastAsia="仿宋" w:cs="宋体"/>
                <w:b/>
                <w:bCs/>
                <w:color w:val="000000"/>
                <w:kern w:val="0"/>
                <w:sz w:val="24"/>
              </w:rPr>
            </w:pPr>
            <w:r>
              <w:rPr>
                <w:rFonts w:hint="eastAsia" w:ascii="仿宋_GB2312" w:hAnsi="仿宋_GB2312" w:eastAsia="仿宋" w:cs="宋体"/>
                <w:b/>
                <w:bCs/>
                <w:color w:val="000000"/>
                <w:kern w:val="0"/>
                <w:sz w:val="24"/>
              </w:rPr>
              <w:t>疾病分类代码</w:t>
            </w:r>
          </w:p>
          <w:p>
            <w:pPr>
              <w:widowControl/>
              <w:jc w:val="center"/>
              <w:rPr>
                <w:rFonts w:hint="eastAsia" w:ascii="仿宋_GB2312" w:hAnsi="仿宋_GB2312" w:eastAsia="仿宋" w:cs="宋体"/>
                <w:b/>
                <w:bCs/>
                <w:color w:val="000000"/>
                <w:kern w:val="0"/>
                <w:sz w:val="24"/>
              </w:rPr>
            </w:pPr>
            <w:r>
              <w:rPr>
                <w:rFonts w:hint="eastAsia" w:ascii="仿宋_GB2312" w:hAnsi="仿宋_GB2312" w:eastAsia="仿宋" w:cs="宋体"/>
                <w:b/>
                <w:bCs/>
                <w:color w:val="000000"/>
                <w:kern w:val="0"/>
                <w:sz w:val="24"/>
              </w:rPr>
              <w:t>（国家临床版2.0）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颅内压增高</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颅内压增高</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G93.200x001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脑干受压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脑干受压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G93.500x002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脑疝</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脑疝</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G93.501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脑水肿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脑水肿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G93.600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脑室扩张</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脑室扩张</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G93.808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中枢性呼吸衰竭</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中枢性呼吸衰竭</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G93.812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脑内出血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I61.900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脑叶出血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I61.101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脑内出血，脑室内</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I61.500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脑血肿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I61.903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出血（外伤）性脑软化</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出血性脑软化</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I61.904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颅内硬膜下出血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硬膜下血肿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I62.001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脊髓水肿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脊髓水肿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G95.106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脊髓受压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脊髓受压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G95.200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脑脊液鼻漏</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脑脊液鼻漏</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G96.001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脑脊液耳漏</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脑脊液耳漏</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G96.002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昏迷</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昏迷</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R40.200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中枢神经系统感染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中枢神经系统感染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G04.904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颅内感染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颅内感染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G06.006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颅内脓肿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颅内脓肿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G06.004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脑脓肿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脑脓肿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G06.001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创伤性视网膜脱离</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创伤性视网膜脱离</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H33.503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视网膜出血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视网膜出血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H35.600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眼底出血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眼底出血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H35.602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创伤性青光眼</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创伤性青光眼</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H40.301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视神经萎缩</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视神经萎缩</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H47.200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创伤性耳聋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创伤性耳聋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H91.801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急性心肌梗死</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急性心肌梗死</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I21.900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心律失常</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心律失常</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I49.900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心力衰竭</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心力衰竭</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I50.900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休克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休克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心源性休克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心源性休克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失血性休克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失血性休克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R57.101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血容量不足性休克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血容量不足性休克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神经源性休克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神经源性休克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R57.803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周围循环衰竭</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周围循环衰竭</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R57.900x002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呼吸心跳骤停</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呼吸心跳骤停</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I46.901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感染性心包炎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感染性心包炎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I30.100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心包积液</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心包积液</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I31.800x004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创伤性心包积血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创伤性心包积血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S26.000x001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感染性心内膜炎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感染性心内膜炎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I33.000x004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39</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肺栓塞</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肺栓塞</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I26.900x001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大面积肺栓塞</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I26.900x005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急性肺栓塞</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I26.900x010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急性肺水肿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急性肺水肿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J81.x00x002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41</w:t>
            </w:r>
          </w:p>
        </w:tc>
        <w:tc>
          <w:tcPr>
            <w:tcW w:w="2250"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成人呼吸窘迫</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综合征</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成人型呼吸窘迫综合征</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J80.x00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呼吸衰竭</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呼吸衰竭</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J96.900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肺不张</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肺不张</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J98.101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肺炎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J18.900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胸腔积液</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胸腔积液</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J94.804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液气胸</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液气胸</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J94.801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纵隔感染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纵隔感染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J98.502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膈下脓肿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膈下脓肿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K65.009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急性胰腺炎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急性胰腺炎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K85.900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胰腺坏死</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胰腺坏死</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K86.801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肠出血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肠出血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K92.204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上消化道出血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上消化道出血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K92.208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胃肠出血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胃肠出血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K92.200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胃出血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胃出血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K92.201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下消化道出血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下消化道出血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K92.209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消化道出血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消化道出血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K92.210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肠脓肿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肠脓肿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K63.000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急性肝衰竭</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急性肝衰竭</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K72.003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细菌性肝脓肿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细菌性肝脓肿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K75.003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腹腔脓肿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腹腔脓肿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细菌性腹膜炎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细菌性腹膜炎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K65.016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急性腹膜炎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急性腹膜炎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弥漫性腹膜炎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弥漫性腹膜炎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K65.000x009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急性弥漫性腹膜炎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急性弥漫性腹膜炎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腹腔感染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腹腔感染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K65.903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穿孔性腹膜炎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穿孔性腹膜炎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K65.800x011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肾衰竭</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肾衰竭</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N19.x00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泌尿道感染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泌尿道感染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N39.000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肾周围感染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肾周围感染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N15.900x002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腹膜后感染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腹膜后感染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K65.904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腹腔积血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腹腔积血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K66.100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腹腔内出血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腹腔内出血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R58.x01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内脏出血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内脏出血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R58.x00x002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睾丸坏死</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睾丸坏死</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N50.807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感染性关节炎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感染性关节炎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M00.901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关节积血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关节积血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M25.000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腰骶关节不稳定</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腰骶关节不稳定</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M53.208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感染性肌炎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感染性肌炎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M60.000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创伤性脊椎病</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创伤性脊椎病</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M48.300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骨髓炎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骨髓炎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M86.900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骨外露</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骨外露</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M89.820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椎体感染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椎体感染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M46.500x091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化脓性软骨炎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化脓性软骨炎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M94.801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85</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皮肤感染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皮肤感染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L08.900x007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皮肤和皮下组织的局部感染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头面颈部皮肤感染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躯干皮肤感染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上肢皮肤感染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下肢皮肤感染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86</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软组织感染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软组织感染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L08.900x021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颈部软组织感染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腹壁软组织感染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会阴部软组织感染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足软组织感染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蜂窝织炎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蜂窝织炎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L03.900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88</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血流感染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金黄色葡萄球菌性</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表皮葡萄球菌败血症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A41.100x002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葡萄球菌性败血症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革兰阴性杆菌败血症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A41.500x083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大肠杆菌败血症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A41.501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铜绿假单胞菌败血症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A41.502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克雷伯杆菌败血症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A41.503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不动杆菌属性败血症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A41.506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菌血症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A49.901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类酵母菌败血症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A41.802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真菌败血症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A41.804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革兰阳性菌败血症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A41.805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脓毒血症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A41.901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感染性休克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感染性休克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90</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细菌感染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葡萄球菌感染性菌血症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耐甲氧西林金黄色葡萄球菌感染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大肠杆菌感染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A49.801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不动杆菌感染性菌血症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A49.803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克雷伯杆菌感染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A49.805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肠杆菌感染性菌血症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A49.806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革兰阴性杆菌感染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A49.902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91</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真菌感染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真菌感染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B49.x00x007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真菌性腹膜炎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B49.x17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真菌性肺炎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B49.x00x020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肺真菌感染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B49.x14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92</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骨髓抑制</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骨髓抑制</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D61.900x001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感染后骨髓抑制</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D75.800x003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93</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贫血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贫血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D64.900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急性出血后贫血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D62.x00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感染性贫血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D64.900x007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播散性血管内凝血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播散性血管内凝血</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［去纤维蛋白综合征］</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D65.x00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消耗性凝血障碍</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消耗性凝血障碍</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D65.x00x005</w:t>
            </w:r>
          </w:p>
        </w:tc>
      </w:tr>
    </w:tbl>
    <w:p>
      <w:pPr>
        <w:jc w:val="center"/>
        <w:rPr>
          <w:rFonts w:hint="eastAsia" w:ascii="仿宋_GB2312" w:hAnsi="仿宋_GB2312" w:eastAsia="黑体" w:cs="黑体"/>
          <w:color w:val="000000"/>
          <w:sz w:val="24"/>
        </w:rPr>
      </w:pPr>
    </w:p>
    <w:p>
      <w:pPr>
        <w:spacing w:line="600" w:lineRule="exact"/>
        <w:jc w:val="left"/>
        <w:rPr>
          <w:rFonts w:hint="eastAsia" w:ascii="仿宋_GB2312" w:hAnsi="仿宋_GB2312" w:eastAsia="黑体" w:cs="黑体"/>
          <w:color w:val="000000"/>
          <w:sz w:val="28"/>
          <w:szCs w:val="28"/>
        </w:rPr>
      </w:pPr>
      <w:r>
        <w:rPr>
          <w:rFonts w:hint="eastAsia" w:ascii="仿宋_GB2312" w:hAnsi="仿宋_GB2312" w:cs="仿宋_GB2312"/>
          <w:color w:val="000000"/>
          <w:szCs w:val="32"/>
        </w:rPr>
        <w:br w:type="page"/>
      </w:r>
      <w:r>
        <w:rPr>
          <w:rFonts w:hint="eastAsia" w:ascii="仿宋_GB2312" w:hAnsi="仿宋_GB2312" w:eastAsia="黑体" w:cs="黑体"/>
          <w:color w:val="000000"/>
          <w:sz w:val="32"/>
          <w:szCs w:val="32"/>
        </w:rPr>
        <w:t>附表3</w:t>
      </w:r>
    </w:p>
    <w:p>
      <w:pPr>
        <w:spacing w:line="600" w:lineRule="exact"/>
        <w:jc w:val="center"/>
        <w:rPr>
          <w:rFonts w:hint="eastAsia" w:ascii="仿宋_GB2312" w:hAnsi="仿宋_GB2312" w:eastAsia="宋体" w:cs="宋体"/>
          <w:b/>
          <w:bCs/>
          <w:color w:val="000000"/>
          <w:sz w:val="44"/>
          <w:szCs w:val="44"/>
        </w:rPr>
      </w:pPr>
      <w:r>
        <w:rPr>
          <w:rFonts w:hint="eastAsia" w:ascii="仿宋_GB2312" w:hAnsi="仿宋_GB2312" w:eastAsia="宋体" w:cs="宋体"/>
          <w:b/>
          <w:bCs/>
          <w:color w:val="000000"/>
          <w:sz w:val="44"/>
          <w:szCs w:val="44"/>
        </w:rPr>
        <w:t>创伤相关核心技术清单</w:t>
      </w:r>
    </w:p>
    <w:tbl>
      <w:tblPr>
        <w:tblStyle w:val="5"/>
        <w:tblW w:w="8522" w:type="dxa"/>
        <w:tblInd w:w="0" w:type="dxa"/>
        <w:tblLayout w:type="fixed"/>
        <w:tblCellMar>
          <w:top w:w="0" w:type="dxa"/>
          <w:left w:w="108" w:type="dxa"/>
          <w:bottom w:w="0" w:type="dxa"/>
          <w:right w:w="108" w:type="dxa"/>
        </w:tblCellMar>
      </w:tblPr>
      <w:tblGrid>
        <w:gridCol w:w="1010"/>
        <w:gridCol w:w="2642"/>
        <w:gridCol w:w="2693"/>
        <w:gridCol w:w="2177"/>
      </w:tblGrid>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b/>
                <w:bCs/>
                <w:color w:val="000000"/>
                <w:kern w:val="0"/>
                <w:sz w:val="24"/>
              </w:rPr>
            </w:pPr>
            <w:r>
              <w:rPr>
                <w:rFonts w:hint="eastAsia" w:ascii="仿宋_GB2312" w:hAnsi="仿宋_GB2312" w:eastAsia="仿宋" w:cs="宋体"/>
                <w:b/>
                <w:bCs/>
                <w:color w:val="000000"/>
                <w:kern w:val="0"/>
                <w:sz w:val="24"/>
              </w:rPr>
              <w:t>序号</w:t>
            </w:r>
          </w:p>
        </w:tc>
        <w:tc>
          <w:tcPr>
            <w:tcW w:w="2642"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b/>
                <w:bCs/>
                <w:color w:val="000000"/>
                <w:kern w:val="0"/>
                <w:sz w:val="24"/>
              </w:rPr>
            </w:pPr>
            <w:r>
              <w:rPr>
                <w:rFonts w:hint="eastAsia" w:ascii="仿宋_GB2312" w:hAnsi="仿宋_GB2312" w:eastAsia="仿宋" w:cs="宋体"/>
                <w:b/>
                <w:bCs/>
                <w:color w:val="000000"/>
                <w:kern w:val="0"/>
                <w:sz w:val="24"/>
              </w:rPr>
              <w:t>技术名称</w:t>
            </w: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b/>
                <w:bCs/>
                <w:color w:val="000000"/>
                <w:kern w:val="0"/>
                <w:sz w:val="24"/>
              </w:rPr>
            </w:pPr>
            <w:r>
              <w:rPr>
                <w:rFonts w:hint="eastAsia" w:ascii="仿宋_GB2312" w:hAnsi="仿宋_GB2312" w:eastAsia="仿宋" w:cs="宋体"/>
                <w:b/>
                <w:bCs/>
                <w:color w:val="000000"/>
                <w:kern w:val="0"/>
                <w:sz w:val="24"/>
              </w:rPr>
              <w:t>手术操作名称</w:t>
            </w:r>
          </w:p>
          <w:p>
            <w:pPr>
              <w:widowControl/>
              <w:jc w:val="center"/>
              <w:rPr>
                <w:rFonts w:hint="eastAsia" w:ascii="仿宋_GB2312" w:hAnsi="仿宋_GB2312" w:eastAsia="仿宋" w:cs="宋体"/>
                <w:b/>
                <w:bCs/>
                <w:color w:val="000000"/>
                <w:kern w:val="0"/>
                <w:sz w:val="24"/>
              </w:rPr>
            </w:pPr>
            <w:r>
              <w:rPr>
                <w:rFonts w:hint="eastAsia" w:ascii="仿宋_GB2312" w:hAnsi="仿宋_GB2312" w:eastAsia="仿宋" w:cs="宋体"/>
                <w:b/>
                <w:bCs/>
                <w:color w:val="000000"/>
                <w:kern w:val="0"/>
                <w:sz w:val="24"/>
              </w:rPr>
              <w:t>（国家临床版2.0）</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b/>
                <w:bCs/>
                <w:color w:val="000000"/>
                <w:kern w:val="0"/>
                <w:sz w:val="24"/>
              </w:rPr>
            </w:pPr>
            <w:r>
              <w:rPr>
                <w:rFonts w:hint="eastAsia" w:ascii="仿宋_GB2312" w:hAnsi="仿宋_GB2312" w:eastAsia="仿宋" w:cs="宋体"/>
                <w:b/>
                <w:bCs/>
                <w:color w:val="000000"/>
                <w:kern w:val="0"/>
                <w:sz w:val="24"/>
              </w:rPr>
              <w:t>手术操作分类代码（国家临床版2.0）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脑池穿刺</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脑池穿刺</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颅内脓肿引流术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颅内脓肿引流术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01.2400x009</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开颅探查术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开颅探查术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01.2400x005</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硬脑膜外血肿清除术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硬脑膜外血肿清除术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01.2400x013</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颅骨去骨瓣减压术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颅骨去骨瓣减压术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1.2413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颅骨切开减压术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颅骨切开减压术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1.2411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脑内血肿清除术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脑内血肿清除术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01.3900x009</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脑膜切开伴硬脑膜下腔血肿清除术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脑膜切开伴硬脑膜下腔血肿清除术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1.3104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硬脑膜下钻孔引流术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硬脑膜下钻孔引流术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1.3108</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脑室切开引流术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脑室切开引流术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1.3902</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脑脓肿切开引流术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脑脓肿切开引流术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1.3911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颅骨修补术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颅骨修补术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02.0600x003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脑室</w:t>
            </w:r>
            <w:r>
              <w:rPr>
                <w:rFonts w:ascii="仿宋_GB2312" w:hAnsi="仿宋_GB2312" w:eastAsia="仿宋"/>
                <w:color w:val="000000"/>
                <w:kern w:val="0"/>
                <w:sz w:val="24"/>
              </w:rPr>
              <w:t>-</w:t>
            </w:r>
            <w:r>
              <w:rPr>
                <w:rFonts w:hint="eastAsia" w:ascii="仿宋_GB2312" w:hAnsi="仿宋_GB2312" w:eastAsia="仿宋" w:cs="宋体"/>
                <w:color w:val="000000"/>
                <w:kern w:val="0"/>
                <w:sz w:val="24"/>
              </w:rPr>
              <w:t>腹腔分流术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脑室</w:t>
            </w:r>
            <w:r>
              <w:rPr>
                <w:rFonts w:ascii="仿宋_GB2312" w:hAnsi="仿宋_GB2312" w:eastAsia="仿宋"/>
                <w:color w:val="000000"/>
                <w:kern w:val="0"/>
                <w:sz w:val="24"/>
              </w:rPr>
              <w:t>-</w:t>
            </w:r>
            <w:r>
              <w:rPr>
                <w:rFonts w:hint="eastAsia" w:ascii="仿宋_GB2312" w:hAnsi="仿宋_GB2312" w:eastAsia="仿宋" w:cs="宋体"/>
                <w:color w:val="000000"/>
                <w:kern w:val="0"/>
                <w:sz w:val="24"/>
              </w:rPr>
              <w:t>腹腔分流术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02.3400x002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脊神经根探查术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脊神经根探查术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3.0903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椎管减压术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椎管减压术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03.0900x010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脊椎骨折复位术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脊椎骨折复位术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03.5300x001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颅和周围神经的缝合术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颅和周围神经的缝合术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04.3x00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眼内异物取出术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眼内异物取出术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16.1x00x001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外耳裂伤缝合术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外耳裂伤缝合术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18.4x00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鼻裂伤缝合术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鼻裂伤缝合术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21.81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暂时性气管切开术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暂时性气管切开术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31.1x00x005</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气管裂伤缝合术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气管裂伤缝合术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31.71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肺叶切除术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肺叶切除术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32.4902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全肺切除术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全肺切除术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32.5900x001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肺切开引流术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肺切开引流术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33.1x03</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26</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肺裂伤闭合术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肺裂伤闭合术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33.43</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27</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开胸探查术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开胸探查术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34.0200x001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28</w:t>
            </w:r>
          </w:p>
        </w:tc>
        <w:tc>
          <w:tcPr>
            <w:tcW w:w="2642"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胸腔闭式引流术</w:t>
            </w: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胸腔闭式引流术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34.0401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胸腔切开引流术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胸腔切开引流术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34.0903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开胸止血术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开胸止血术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34.0900x011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胸腔镜下胸腔切开</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止血术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胸腔镜下胸腔切开</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止血术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34.0906</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开胸异物取出术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开胸异物取出术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34.0904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胸膜切开血肿清除术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胸膜切开血肿清除术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34.0901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纵隔切开引流术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纵隔切开引流术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34.1x01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纵隔探查术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纵隔探查术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34.1x02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胸壁裂伤缝合术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胸壁裂伤缝合术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34.71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胸腔穿刺术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胸腔穿刺术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34.91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心包穿刺术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心包穿刺术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37.0x00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心脏切开术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心脏切开术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37.11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心包开窗术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心包开窗术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37.1203</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心包切开闭式引流术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心包切开闭式引流术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37.1200x009</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心脏破裂修补术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心脏破裂修补术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37.4900x002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开胸心脏按摩</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开胸心脏按摩</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37.91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动脉穿刺术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动脉穿刺术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38.9800x001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动脉导管插入术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动脉导管插入术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38.91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髂内动脉插管术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髂内动脉插管术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38.9100x602</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经外周静脉穿刺中心</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静脉置管术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经外周静脉穿刺中心</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静脉置管术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38.9301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股动脉穿刺术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股动脉穿刺术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38.9800x801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动脉缝合术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动脉缝合术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39.31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全脾切除术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全脾切除术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41.5x00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胃部分切除术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胃部分切除术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43.8901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52</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内镜下胃或十二指肠</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出血控制</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内镜下胃或十二指肠</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出血控制</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44.43</w:t>
            </w:r>
          </w:p>
        </w:tc>
      </w:tr>
      <w:tr>
        <w:tblPrEx>
          <w:tblLayout w:type="fixed"/>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53</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胃裂伤缝合术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胃裂伤缝合术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44.61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54</w:t>
            </w:r>
          </w:p>
        </w:tc>
        <w:tc>
          <w:tcPr>
            <w:tcW w:w="2642"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肠切开异物取出术</w:t>
            </w: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肠切开异物取出术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45.0002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十二指肠切开探查术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十二指肠切开探查术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45.0100x005</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小肠部分切除术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小肠部分切除术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45.6201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十二指肠部分切除术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十二指肠部分切除术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45.6202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回肠切除术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回肠切除术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45.6207</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回肠部分切除术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回肠部分切除术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45.6206</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小肠全部切除术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小肠全部切除术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45.63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大肠多节段切除术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大肠多节段切除术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45.7100x001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肠吻合术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肠吻合术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45.9</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十二指肠外置术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十二指肠外置术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46.0101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大肠外置术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大肠外置术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46.03</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结肠造口术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结肠造口术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十二指肠造口术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十二指肠造口术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46.3902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空肠造口术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空肠造口术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46.3900x002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十二指肠裂伤缝合术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十二指肠裂伤缝合术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46.71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小肠裂伤缝合术，</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除外十二指肠</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小肠裂伤缝合术，</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除外十二指肠</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46.73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肠穿孔修补术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肠穿孔修补术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46.7901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直肠裂伤缝合术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直肠裂伤缝合术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48.71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直肠造口闭合术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直肠造口闭合术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48.72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肛门裂伤缝合术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肛门裂伤缝合术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49.71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肝叶切除术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肝叶切除术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50.3x00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全肝切除术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全肝切除术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50.4x00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肝裂伤闭合术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肝裂伤闭合术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50.61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肝内胆管引流术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肝内胆管引流术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51.5900x008</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胆囊造口术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胆囊造口术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51.0300x002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胆囊引流术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胆囊引流术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51.0400x004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胆总管探查术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胆总管探查术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51.51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胆囊切除术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胆囊切除术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51.22</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82</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胆管引流术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胆管引流术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51.5900x005</w:t>
            </w:r>
          </w:p>
        </w:tc>
      </w:tr>
      <w:tr>
        <w:tblPrEx>
          <w:tblLayout w:type="fixed"/>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83</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胰腺切开引流术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胰腺切开引流术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52.0903</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84</w:t>
            </w:r>
          </w:p>
        </w:tc>
        <w:tc>
          <w:tcPr>
            <w:tcW w:w="2642"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胰腺部分切除术</w:t>
            </w: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胰腺部分切除术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52.5901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胰腺修补术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胰腺修补术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52.9504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腹股沟探查术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腹股沟探查术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54.0x01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开腹探查术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开腹探查术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54.11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腹壁清创术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腹壁清创术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54.3x06</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腹壁裂伤缝合术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腹壁裂伤缝合术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54.6301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部分肾切除术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部分肾切除术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55.4x00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肾修补术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肾修补术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55.8901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肾穿刺术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肾穿刺术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55.9203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经皮膀胱造口术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经皮膀胱造口术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57.17</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膀胱探查术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膀胱探查术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57.1901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膀胱造口术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膀胱造口术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57.21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膀胱裂伤缝合术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膀胱裂伤缝合术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57.81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尿道裂伤缝合术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尿道裂伤缝合术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58.41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尿道吻合术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尿道吻合术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58.4401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阴囊裂伤缝合术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阴囊裂伤缝合术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61.4102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睾丸鞘膜裂伤缝合术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睾丸鞘膜裂伤缝合术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61.4101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阴囊血肿清除术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阴囊血肿清除术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61.0x03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睾丸切开探查术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睾丸切开探查术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62.0x00x001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单侧睾丸切除术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单侧睾丸切除术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62.3x00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阴茎部分切除术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阴茎部分切除术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64.3x01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阴茎裂伤缝合术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阴茎裂伤缝合术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64.41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子宫颈裂伤缝合术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子宫颈裂伤缝合术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67.61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子宫切开探查术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子宫切开探查术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68.0x00x004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子宫裂伤缝合术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子宫裂伤缝合术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69.41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后穹隆穿刺术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后穹隆穿刺术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70.0x00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阴道裂伤缝合术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阴道裂伤缝合术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70.71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111</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阴道血肿切开引流术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阴道血肿切开引流术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70.1400x011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112</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会阴切开引流术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会阴切开引流术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71.0900x001</w:t>
            </w:r>
          </w:p>
        </w:tc>
      </w:tr>
      <w:tr>
        <w:tblPrEx>
          <w:tblLayout w:type="fixed"/>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113</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外阴裂伤缝合术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外阴裂伤缝合术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71.7101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114</w:t>
            </w:r>
          </w:p>
        </w:tc>
        <w:tc>
          <w:tcPr>
            <w:tcW w:w="2642"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死骨切除术</w:t>
            </w: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死骨切除术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骨切开引流术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骨切开引流术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77.1001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肱骨截骨术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肱骨截骨术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77.2200x001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尺骨截骨术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尺骨截骨术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77.2300x001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股骨截骨术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股骨截骨术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77.2500x001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胫骨截骨术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胫骨截骨术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77.2700x003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骨部分切除术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骨部分切除术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77.8</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骨切除术用作移植物</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骨切除术用作移植物</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77.7</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使用外固定装置</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使用外固定装置</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肢体延伸术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肢体延伸术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78.3</w:t>
            </w:r>
          </w:p>
        </w:tc>
      </w:tr>
      <w:tr>
        <w:tblPrEx>
          <w:tblLayout w:type="fixed"/>
          <w:tblCellMar>
            <w:top w:w="0" w:type="dxa"/>
            <w:left w:w="108" w:type="dxa"/>
            <w:bottom w:w="0" w:type="dxa"/>
            <w:right w:w="108" w:type="dxa"/>
          </w:tblCellMar>
        </w:tblPrEx>
        <w:trPr>
          <w:trHeight w:val="272" w:hRule="atLeast"/>
        </w:trPr>
        <w:tc>
          <w:tcPr>
            <w:tcW w:w="1010" w:type="dxa"/>
            <w:vMerge w:val="restart"/>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124</w:t>
            </w:r>
          </w:p>
        </w:tc>
        <w:tc>
          <w:tcPr>
            <w:tcW w:w="2642" w:type="dxa"/>
            <w:vMerge w:val="restart"/>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骨内固定不伴骨折</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复位术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骨内固定不伴骨折</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w:t>
            </w:r>
          </w:p>
        </w:tc>
      </w:tr>
      <w:tr>
        <w:tblPrEx>
          <w:tblLayout w:type="fixed"/>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肩胛骨，锁骨和胸廓</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［肋骨和胸骨］内固定不伴骨折复位术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78.5103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肋骨内固定术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78.5104</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肱骨内固定术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78.5201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桡骨内固定术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78.5301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尺骨内固定术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78.5302</w:t>
            </w:r>
          </w:p>
        </w:tc>
      </w:tr>
      <w:tr>
        <w:tblPrEx>
          <w:tblLayout w:type="fixed"/>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股骨内固定术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78.5501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胫骨内固定术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78.5701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椎弓根钉内固定术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78.5900x022</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骨盆内固定术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78.5901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椎骨内固定术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78.5904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骨置入装置去除</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骨置入装置去除</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78.6</w:t>
            </w:r>
          </w:p>
        </w:tc>
      </w:tr>
      <w:tr>
        <w:tblPrEx>
          <w:tblLayout w:type="fixed"/>
        </w:tblPrEx>
        <w:trPr>
          <w:trHeight w:val="272" w:hRule="atLeast"/>
        </w:trPr>
        <w:tc>
          <w:tcPr>
            <w:tcW w:w="10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126</w:t>
            </w:r>
          </w:p>
        </w:tc>
        <w:tc>
          <w:tcPr>
            <w:tcW w:w="264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骨折闭合性复位术伴</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内固定</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骨折闭合性复位术伴</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内固定</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肱骨骨折闭合性复位术伴内固定</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桡骨和尺骨骨折闭合性复位术伴内固定</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79.12</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股骨骨折闭合性复位术伴内固定</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79.15</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胫骨和腓骨骨折闭合性复位术伴内固定</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79.16</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踝关节骨折闭合复位内固定术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79.1603</w:t>
            </w:r>
          </w:p>
        </w:tc>
      </w:tr>
      <w:tr>
        <w:tblPrEx>
          <w:tblLayout w:type="fixed"/>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其他骨骨折闭合性复位术伴内固定</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79.19</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骨盆骨折闭合复位内</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79.1903</w:t>
            </w:r>
          </w:p>
        </w:tc>
      </w:tr>
      <w:tr>
        <w:tblPrEx>
          <w:tblLayout w:type="fixed"/>
          <w:tblCellMar>
            <w:top w:w="0" w:type="dxa"/>
            <w:left w:w="108" w:type="dxa"/>
            <w:bottom w:w="0" w:type="dxa"/>
            <w:right w:w="108" w:type="dxa"/>
          </w:tblCellMar>
        </w:tblPrEx>
        <w:trPr>
          <w:trHeight w:val="272" w:hRule="atLeast"/>
        </w:trPr>
        <w:tc>
          <w:tcPr>
            <w:tcW w:w="10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127</w:t>
            </w:r>
          </w:p>
        </w:tc>
        <w:tc>
          <w:tcPr>
            <w:tcW w:w="264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骨折开放性复位术伴内固定</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骨折开放性复位术伴内固定</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肱骨骨折切开复位内</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79.3101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桡骨骨折切开复位</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79.3201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尺骨骨折切开复位</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79.3202</w:t>
            </w:r>
          </w:p>
        </w:tc>
      </w:tr>
      <w:tr>
        <w:tblPrEx>
          <w:tblLayout w:type="fixed"/>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股骨骨折切开复位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79.3501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胫骨骨折切开复位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79.3601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踝关节骨折切开复位</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79.3603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骨盆骨折切开复位钢板内固定术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79.3900x043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髋骨骨折切开复位钢板内固定术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79.3900x045</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髂骨骨折切开复位钢板内固定术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79.3900x050</w:t>
            </w:r>
          </w:p>
        </w:tc>
      </w:tr>
      <w:tr>
        <w:tblPrEx>
          <w:tblLayout w:type="fixed"/>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盆骨骨折切开复位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肩胛骨骨折切开复位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79.3902</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肋骨骨折切开复位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锁骨骨折切开复位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79.3904</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79.3905</w:t>
            </w:r>
          </w:p>
        </w:tc>
      </w:tr>
      <w:tr>
        <w:tblPrEx>
          <w:tblLayout w:type="fixed"/>
          <w:tblCellMar>
            <w:top w:w="0" w:type="dxa"/>
            <w:left w:w="108" w:type="dxa"/>
            <w:bottom w:w="0" w:type="dxa"/>
            <w:right w:w="108" w:type="dxa"/>
          </w:tblCellMar>
        </w:tblPrEx>
        <w:trPr>
          <w:trHeight w:val="272" w:hRule="atLeast"/>
        </w:trPr>
        <w:tc>
          <w:tcPr>
            <w:tcW w:w="10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128</w:t>
            </w:r>
          </w:p>
        </w:tc>
        <w:tc>
          <w:tcPr>
            <w:tcW w:w="264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脱位的闭合性复位术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脱位的闭合性复位术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w:t>
            </w:r>
          </w:p>
        </w:tc>
      </w:tr>
      <w:tr>
        <w:tblPrEx>
          <w:tblLayout w:type="fixed"/>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肩脱位闭合性复位术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肘脱位闭合性复位术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79.72</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腕脱位闭合性复位术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髋脱位闭合性复位术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79.75</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膝脱位闭合性复位术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79.76</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踝脱位闭合性复位术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79.77</w:t>
            </w:r>
          </w:p>
        </w:tc>
      </w:tr>
      <w:tr>
        <w:tblPrEx>
          <w:tblLayout w:type="fixed"/>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其他特指部位脱位的</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闭合性复位术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79.79</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颈椎脱位闭合复位术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颈椎脱位闭合复位术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79.7900x003</w:t>
            </w:r>
          </w:p>
        </w:tc>
      </w:tr>
      <w:tr>
        <w:tblPrEx>
          <w:tblLayout w:type="fixed"/>
          <w:tblCellMar>
            <w:top w:w="0" w:type="dxa"/>
            <w:left w:w="108" w:type="dxa"/>
            <w:bottom w:w="0" w:type="dxa"/>
            <w:right w:w="108" w:type="dxa"/>
          </w:tblCellMar>
        </w:tblPrEx>
        <w:trPr>
          <w:trHeight w:val="272" w:hRule="atLeast"/>
        </w:trPr>
        <w:tc>
          <w:tcPr>
            <w:tcW w:w="10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130</w:t>
            </w:r>
          </w:p>
        </w:tc>
        <w:tc>
          <w:tcPr>
            <w:tcW w:w="264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脱位的开放性复位术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脱位的开放性复位术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肩脱位开放性复位术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肩关节脱位切开复位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79.8100x003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肘脱位开放性复位术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79.82</w:t>
            </w:r>
          </w:p>
        </w:tc>
      </w:tr>
      <w:tr>
        <w:tblPrEx>
          <w:tblLayout w:type="fixed"/>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肘关节脱位切开复位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79.8200x001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髋脱位开放性复位术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79.85</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髋关节脱位切开复位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79.8500x001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膝脱位开放性复位术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79.86</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踝脱位开放性复位术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79.87</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其他特指部位脱位的</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79.89</w:t>
            </w:r>
          </w:p>
        </w:tc>
      </w:tr>
      <w:tr>
        <w:tblPrEx>
          <w:tblLayout w:type="fixed"/>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131</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颈椎脱位切开复位内</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固定术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颈椎脱位切开复位</w:t>
            </w:r>
          </w:p>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79.8900x002</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132</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腰椎脱位切开复位内</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固定术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腰椎脱位切开复位</w:t>
            </w:r>
          </w:p>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79.8900x006</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133</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颈后入路寰枢椎复位内固定术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颈后入路寰枢椎复位</w:t>
            </w:r>
          </w:p>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79.8904</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134</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开放性骨折部位的</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清创术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开放性骨折部位的</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清创术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79.6</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135</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半侧骨盆截断术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半侧骨盆截断术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84.1901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136</w:t>
            </w:r>
          </w:p>
        </w:tc>
        <w:tc>
          <w:tcPr>
            <w:tcW w:w="2642"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脊柱融合</w:t>
            </w: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脊柱融合</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胸椎融合术，后入路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胸椎融合术，后入路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81.0501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胸椎椎体间融合术，</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前入路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胸椎椎体间融合术，</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前入路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81.0401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全髋关节置换</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全髋关节置换</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81.51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人工股骨头置换术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人工股骨头置换术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81.5201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人工髋臼置换术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人工髋臼置换术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81.5202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人工肱骨头置换术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人工肱骨头置换术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81.8101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肘关节全部置换</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肘关节全部置换</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81.84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关节穿刺术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关节穿刺术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81.91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筋膜间隙切开减压术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筋膜间隙切开减压术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83.0900x003</w:t>
            </w:r>
          </w:p>
        </w:tc>
      </w:tr>
      <w:tr>
        <w:tblPrEx>
          <w:tblLayout w:type="fixed"/>
          <w:tblCellMar>
            <w:top w:w="0" w:type="dxa"/>
            <w:left w:w="108" w:type="dxa"/>
            <w:bottom w:w="0" w:type="dxa"/>
            <w:right w:w="108" w:type="dxa"/>
          </w:tblCellMar>
        </w:tblPrEx>
        <w:trPr>
          <w:trHeight w:val="272" w:hRule="atLeast"/>
        </w:trPr>
        <w:tc>
          <w:tcPr>
            <w:tcW w:w="10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146</w:t>
            </w:r>
          </w:p>
        </w:tc>
        <w:tc>
          <w:tcPr>
            <w:tcW w:w="264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上肢截断术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上肢截断术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经前臂截断术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84.05</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肘关节离断术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84.06</w:t>
            </w:r>
          </w:p>
        </w:tc>
      </w:tr>
      <w:tr>
        <w:tblPrEx>
          <w:tblLayout w:type="fixed"/>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经肱骨截断术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84.07</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上臂截断术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84.0701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肩关节离断术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84.08</w:t>
            </w:r>
          </w:p>
        </w:tc>
      </w:tr>
      <w:tr>
        <w:tblPrEx>
          <w:tblLayout w:type="fixed"/>
          <w:tblCellMar>
            <w:top w:w="0" w:type="dxa"/>
            <w:left w:w="108" w:type="dxa"/>
            <w:bottom w:w="0" w:type="dxa"/>
            <w:right w:w="108" w:type="dxa"/>
          </w:tblCellMar>
        </w:tblPrEx>
        <w:trPr>
          <w:trHeight w:val="272" w:hRule="atLeast"/>
        </w:trPr>
        <w:tc>
          <w:tcPr>
            <w:tcW w:w="10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147</w:t>
            </w:r>
          </w:p>
        </w:tc>
        <w:tc>
          <w:tcPr>
            <w:tcW w:w="264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下肢截断术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下肢截断术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踝关节离断术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经胫骨和腓骨踝部的踝截断术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84.14</w:t>
            </w:r>
          </w:p>
        </w:tc>
      </w:tr>
      <w:tr>
        <w:tblPrEx>
          <w:tblLayout w:type="fixed"/>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小腿截断术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84.1501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膝关节离断术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84.16</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膝上截断术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84.17</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大腿截断术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84.1701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髋关节离断术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髋关节离断术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84.18</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腹骨盆截断术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腹骨盆截断术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84.19</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肌腱缝合术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肌腱缝合术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83.6401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肌肉缝合术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肌肉缝合术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83.6501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皮肤和皮下组织血肿</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抽吸术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皮肤和皮下组织血肿</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抽吸术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86.0100x003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皮肤和皮下坏死组织</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切除清创术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皮肤和皮下坏死组织</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切除清创术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86.2200x011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头皮缝合术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头皮缝合术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86.5902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头颅骨盆环牵引术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头颅骨盆环牵引术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93.4101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颈椎牵引术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颈椎牵引术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93.4201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其他骨骼牵引</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其他骨骼牵引</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93.44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夹板外固定</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夹板外固定</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93.5400x001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颈托固定</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颈托固定</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93.5201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160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外固定架固定</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外固定架固定</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93.5900x002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161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气管内插管</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气管内插管</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96.04</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162</w:t>
            </w:r>
          </w:p>
        </w:tc>
        <w:tc>
          <w:tcPr>
            <w:tcW w:w="2642"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血液透析</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血液透析</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39.95</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163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手指断指再植术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手指断指再植术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84.2201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164</w:t>
            </w:r>
          </w:p>
        </w:tc>
        <w:tc>
          <w:tcPr>
            <w:tcW w:w="2642"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断肢再植术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断肢再植术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84.2901</w:t>
            </w:r>
          </w:p>
        </w:tc>
      </w:tr>
    </w:tbl>
    <w:p>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Arial">
    <w:panose1 w:val="020B0604020202020204"/>
    <w:charset w:val="00"/>
    <w:family w:val="decorative"/>
    <w:pitch w:val="default"/>
    <w:sig w:usb0="00007A87" w:usb1="80000000" w:usb2="00000008" w:usb3="00000000" w:csb0="400001FF" w:csb1="FFFF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235B4"/>
    <w:rsid w:val="0020503D"/>
    <w:rsid w:val="1359284E"/>
    <w:rsid w:val="4D4235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2019-09-05T02:58:00Z</dcterms:created>
  <dc:creator>Administrator</dc:creator>
  <cp:lastModifiedBy>Administrator</cp:lastModifiedBy>
  <dcterms:modified xsi:type="dcterms:W3CDTF">2019-09-05T03:03:01Z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